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22EAA3">
      <w:pPr>
        <w:spacing w:before="720" w:after="120"/>
        <w:jc w:val="center"/>
      </w:pPr>
      <w:r>
        <w:rPr>
          <w:b/>
          <w:color w:val="1B365D"/>
          <w:sz w:val="48"/>
        </w:rPr>
        <w:t>BUSINESS REQUIREMENT DOCUMENT (BRD)</w:t>
      </w:r>
    </w:p>
    <w:p w14:paraId="59C32C43">
      <w:pPr>
        <w:spacing w:after="480"/>
        <w:jc w:val="center"/>
      </w:pPr>
      <w:r>
        <w:rPr>
          <w:i/>
          <w:color w:val="5C768D"/>
          <w:sz w:val="28"/>
        </w:rPr>
        <w:t>Manufacturing Plant Operational Performance &amp; Root Cause Analysis</w:t>
      </w:r>
    </w:p>
    <w:tbl>
      <w:tblPr>
        <w:tblStyle w:val="12"/>
        <w:tblW w:w="0" w:type="auto"/>
        <w:jc w:val="center"/>
        <w:tblLayout w:type="autofit"/>
        <w:tblCellMar>
          <w:top w:w="0" w:type="dxa"/>
          <w:left w:w="108" w:type="dxa"/>
          <w:bottom w:w="0" w:type="dxa"/>
          <w:right w:w="108" w:type="dxa"/>
        </w:tblCellMar>
      </w:tblPr>
      <w:tblGrid>
        <w:gridCol w:w="3168"/>
        <w:gridCol w:w="6192"/>
      </w:tblGrid>
      <w:tr w14:paraId="1322C213">
        <w:tblPrEx>
          <w:tblCellMar>
            <w:top w:w="0" w:type="dxa"/>
            <w:left w:w="108" w:type="dxa"/>
            <w:bottom w:w="0" w:type="dxa"/>
            <w:right w:w="108" w:type="dxa"/>
          </w:tblCellMar>
        </w:tblPrEx>
        <w:trPr>
          <w:jc w:val="center"/>
        </w:trPr>
        <w:tc>
          <w:tcPr>
            <w:tcW w:w="3168" w:type="dxa"/>
            <w:shd w:val="clear" w:color="auto" w:fill="F4F6F8"/>
          </w:tcPr>
          <w:p w14:paraId="253DD874">
            <w:r>
              <w:rPr>
                <w:b/>
              </w:rPr>
              <w:t>Document Version:</w:t>
            </w:r>
          </w:p>
        </w:tc>
        <w:tc>
          <w:tcPr>
            <w:tcW w:w="6192" w:type="dxa"/>
          </w:tcPr>
          <w:p w14:paraId="1863E097">
            <w:r>
              <w:t>v1.0 (Final Release)</w:t>
            </w:r>
          </w:p>
        </w:tc>
      </w:tr>
      <w:tr w14:paraId="17C17E43">
        <w:tblPrEx>
          <w:tblCellMar>
            <w:top w:w="0" w:type="dxa"/>
            <w:left w:w="108" w:type="dxa"/>
            <w:bottom w:w="0" w:type="dxa"/>
            <w:right w:w="108" w:type="dxa"/>
          </w:tblCellMar>
        </w:tblPrEx>
        <w:trPr>
          <w:jc w:val="center"/>
        </w:trPr>
        <w:tc>
          <w:tcPr>
            <w:tcW w:w="3168" w:type="dxa"/>
            <w:shd w:val="clear" w:color="auto" w:fill="F4F6F8"/>
          </w:tcPr>
          <w:p w14:paraId="527BE98C">
            <w:r>
              <w:rPr>
                <w:b/>
              </w:rPr>
              <w:t>Issued By:</w:t>
            </w:r>
          </w:p>
        </w:tc>
        <w:tc>
          <w:tcPr>
            <w:tcW w:w="6192" w:type="dxa"/>
          </w:tcPr>
          <w:p w14:paraId="2E76B502">
            <w:r>
              <w:t>Chief Floor &amp; Production Manager</w:t>
            </w:r>
          </w:p>
        </w:tc>
      </w:tr>
      <w:tr w14:paraId="6A46D8C0">
        <w:tblPrEx>
          <w:tblCellMar>
            <w:top w:w="0" w:type="dxa"/>
            <w:left w:w="108" w:type="dxa"/>
            <w:bottom w:w="0" w:type="dxa"/>
            <w:right w:w="108" w:type="dxa"/>
          </w:tblCellMar>
        </w:tblPrEx>
        <w:trPr>
          <w:jc w:val="center"/>
        </w:trPr>
        <w:tc>
          <w:tcPr>
            <w:tcW w:w="3168" w:type="dxa"/>
            <w:shd w:val="clear" w:color="auto" w:fill="F4F6F8"/>
          </w:tcPr>
          <w:p w14:paraId="126F73A1">
            <w:r>
              <w:rPr>
                <w:b/>
              </w:rPr>
              <w:t>Target Audience:</w:t>
            </w:r>
          </w:p>
        </w:tc>
        <w:tc>
          <w:tcPr>
            <w:tcW w:w="6192" w:type="dxa"/>
          </w:tcPr>
          <w:p w14:paraId="72E711FC">
            <w:r>
              <w:t>Lead Data Analyst / Business Intelligence Team</w:t>
            </w:r>
          </w:p>
        </w:tc>
      </w:tr>
      <w:tr w14:paraId="0ACA5937">
        <w:tblPrEx>
          <w:tblCellMar>
            <w:top w:w="0" w:type="dxa"/>
            <w:left w:w="108" w:type="dxa"/>
            <w:bottom w:w="0" w:type="dxa"/>
            <w:right w:w="108" w:type="dxa"/>
          </w:tblCellMar>
        </w:tblPrEx>
        <w:trPr>
          <w:jc w:val="center"/>
        </w:trPr>
        <w:tc>
          <w:tcPr>
            <w:tcW w:w="3168" w:type="dxa"/>
            <w:shd w:val="clear" w:color="auto" w:fill="F4F6F8"/>
          </w:tcPr>
          <w:p w14:paraId="3E159CD8">
            <w:r>
              <w:rPr>
                <w:b/>
              </w:rPr>
              <w:t>Project Scope:</w:t>
            </w:r>
          </w:p>
        </w:tc>
        <w:tc>
          <w:tcPr>
            <w:tcW w:w="6192" w:type="dxa"/>
          </w:tcPr>
          <w:p w14:paraId="77688899">
            <w:r>
              <w:t>Analysis of Plant Floors, Machine Downtime, Quality Defects &amp; Cost Control</w:t>
            </w:r>
          </w:p>
        </w:tc>
      </w:tr>
    </w:tbl>
    <w:p w14:paraId="35C20104">
      <w:r>
        <w:br w:type="page"/>
      </w:r>
    </w:p>
    <w:p w14:paraId="3650E954">
      <w:pPr>
        <w:keepNext/>
        <w:spacing w:before="360" w:after="120"/>
      </w:pPr>
      <w:r>
        <w:rPr>
          <w:rFonts w:ascii="Arial" w:hAnsi="Arial"/>
          <w:b/>
          <w:color w:val="1B365D"/>
          <w:sz w:val="32"/>
        </w:rPr>
        <w:t>1. Executive Summary &amp; Business Context</w:t>
      </w:r>
    </w:p>
    <w:p w14:paraId="4BD93150">
      <w:pPr>
        <w:spacing w:after="200"/>
      </w:pPr>
      <w:r>
        <w:t xml:space="preserve">As the Plant Operations and Floor Manager, I am delivering this comprehensive Business Requirement Document (BRD) and our historical manufacturing log (`Manufacturing Dataset.csv`) to our analytics team. Currently, our facility is tracking key variations across multiple operational metrics including machinery types, multi-shift workforce schedules, ambient warehouse conditions, and scrap/rework durations. </w:t>
      </w:r>
    </w:p>
    <w:p w14:paraId="5AD270E8">
      <w:pPr>
        <w:spacing w:after="240"/>
      </w:pPr>
      <w:r>
        <w:t>While we are meeting our baseline daily production targets, we are noticing unacceptably tight margins due to unpredictable asset failures, excessive rework times, and material waste spikes. The primary goal of this analytics initiative is to translate our raw transactional log into clear, actionable operational intelligence. We require data-driven answers to define why certain shifts or machinery suffer from lower efficiency and higher scrap rates, and how we can achieve optimal cost-per-unit metrics.</w:t>
      </w:r>
    </w:p>
    <w:p w14:paraId="6EFB738F">
      <w:pPr>
        <w:keepNext/>
        <w:spacing w:before="360" w:after="120"/>
      </w:pPr>
      <w:r>
        <w:rPr>
          <w:rFonts w:ascii="Arial" w:hAnsi="Arial"/>
          <w:b/>
          <w:color w:val="1B365D"/>
          <w:sz w:val="32"/>
        </w:rPr>
        <w:t>2. Project Objectives &amp; Scope</w:t>
      </w:r>
    </w:p>
    <w:p w14:paraId="5456B542">
      <w:r>
        <w:t>The objective of this analytic study is to deeply evaluate the manufacturing data to satisfy four key business dimensions:</w:t>
      </w:r>
    </w:p>
    <w:p w14:paraId="170C770D">
      <w:pPr>
        <w:pStyle w:val="23"/>
        <w:spacing w:after="60"/>
      </w:pPr>
      <w:r>
        <w:rPr>
          <w:b/>
          <w:color w:val="333333"/>
        </w:rPr>
        <w:t xml:space="preserve">Downtime Minimization: </w:t>
      </w:r>
      <w:r>
        <w:rPr>
          <w:color w:val="333333"/>
        </w:rPr>
        <w:t xml:space="preserve"> Identify the root causes of asset downtime and formulate a predictive breakdown prevention baseline.</w:t>
      </w:r>
    </w:p>
    <w:p w14:paraId="40CDD8AE">
      <w:pPr>
        <w:pStyle w:val="23"/>
        <w:spacing w:after="60"/>
      </w:pPr>
      <w:r>
        <w:rPr>
          <w:b/>
          <w:color w:val="333333"/>
        </w:rPr>
        <w:t xml:space="preserve">Quality Assurance: </w:t>
      </w:r>
      <w:r>
        <w:rPr>
          <w:color w:val="333333"/>
        </w:rPr>
        <w:t xml:space="preserve"> Determine why specific product types or shifts trigger high scrap percentages and failed quality check gates.</w:t>
      </w:r>
    </w:p>
    <w:p w14:paraId="5E38D2EA">
      <w:pPr>
        <w:pStyle w:val="23"/>
        <w:spacing w:after="60"/>
      </w:pPr>
      <w:r>
        <w:rPr>
          <w:b/>
          <w:color w:val="333333"/>
        </w:rPr>
        <w:t xml:space="preserve">Environmental Control: </w:t>
      </w:r>
      <w:r>
        <w:rPr>
          <w:color w:val="333333"/>
        </w:rPr>
        <w:t xml:space="preserve"> Quantify the exact impact of ambient shop floor metrics (Temperature and Humidity) on machine failure or material errors.</w:t>
      </w:r>
    </w:p>
    <w:p w14:paraId="0020885C">
      <w:pPr>
        <w:pStyle w:val="23"/>
        <w:spacing w:after="60"/>
      </w:pPr>
      <w:r>
        <w:rPr>
          <w:b/>
          <w:color w:val="333333"/>
        </w:rPr>
        <w:t xml:space="preserve">Resource &amp; Cost Optimization: </w:t>
      </w:r>
      <w:r>
        <w:rPr>
          <w:color w:val="333333"/>
        </w:rPr>
        <w:t xml:space="preserve"> Uncover labor over-allocation or energy consumption patterns that inflate overhead without scaling unit volume.</w:t>
      </w:r>
    </w:p>
    <w:p w14:paraId="1BE13A5D">
      <w:pPr>
        <w:keepNext/>
        <w:spacing w:before="360" w:after="120"/>
      </w:pPr>
      <w:r>
        <w:rPr>
          <w:rFonts w:ascii="Arial" w:hAnsi="Arial"/>
          <w:b/>
          <w:color w:val="1B365D"/>
          <w:sz w:val="32"/>
        </w:rPr>
        <w:t>3. Core Business Requirements &amp; Analytic Questions</w:t>
      </w:r>
    </w:p>
    <w:p w14:paraId="05C77EC7">
      <w:pPr>
        <w:keepNext/>
        <w:spacing w:before="240" w:after="80"/>
      </w:pPr>
      <w:r>
        <w:rPr>
          <w:rFonts w:ascii="Arial" w:hAnsi="Arial"/>
          <w:b/>
          <w:color w:val="5C768D"/>
          <w:sz w:val="26"/>
        </w:rPr>
        <w:t>BR-01: Asset Reliability and Maintenance Diagnostics</w:t>
      </w:r>
    </w:p>
    <w:p w14:paraId="7E3A3750">
      <w:r>
        <w:t>We must identify underperforming machinery and distinguish regular maintenance from catastrophic failures.</w:t>
      </w:r>
    </w:p>
    <w:p w14:paraId="212F50A5">
      <w:pPr>
        <w:pStyle w:val="23"/>
        <w:spacing w:after="60"/>
      </w:pPr>
      <w:r>
        <w:rPr>
          <w:b/>
          <w:color w:val="333333"/>
        </w:rPr>
        <w:t xml:space="preserve">Analytic Focus 1.1: </w:t>
      </w:r>
      <w:r>
        <w:rPr>
          <w:color w:val="333333"/>
        </w:rPr>
        <w:t>Which specific Machine IDs accumulate the highest ratio of Down Time Hours compared to active Production Time Hours?</w:t>
      </w:r>
    </w:p>
    <w:p w14:paraId="0E1548B8">
      <w:pPr>
        <w:pStyle w:val="23"/>
        <w:spacing w:after="60"/>
      </w:pPr>
      <w:r>
        <w:rPr>
          <w:b/>
          <w:color w:val="333333"/>
        </w:rPr>
        <w:t xml:space="preserve">Analytic Focus 1.2: </w:t>
      </w:r>
      <w:r>
        <w:rPr>
          <w:color w:val="333333"/>
        </w:rPr>
        <w:t>Is there a point of diminishing returns where high Maintenance Hours do not lead to a drop in Down Time Hours?</w:t>
      </w:r>
    </w:p>
    <w:p w14:paraId="1173C68C">
      <w:pPr>
        <w:keepNext/>
        <w:spacing w:before="240" w:after="80"/>
      </w:pPr>
      <w:r>
        <w:rPr>
          <w:rFonts w:ascii="Arial" w:hAnsi="Arial"/>
          <w:b/>
          <w:color w:val="5C768D"/>
          <w:sz w:val="26"/>
        </w:rPr>
        <w:t>BR-02: Quality Control, Scrap Control, and Product Failures</w:t>
      </w:r>
    </w:p>
    <w:p w14:paraId="53F7E5BA">
      <w:r>
        <w:t>Defects directly impact our bottom line. We need to isolate failure points across product classifications.</w:t>
      </w:r>
    </w:p>
    <w:p w14:paraId="3830BDAB">
      <w:pPr>
        <w:pStyle w:val="23"/>
        <w:spacing w:after="60"/>
      </w:pPr>
      <w:r>
        <w:rPr>
          <w:b/>
          <w:color w:val="333333"/>
        </w:rPr>
        <w:t xml:space="preserve">Analytic Focus 2.1: </w:t>
      </w:r>
      <w:r>
        <w:rPr>
          <w:color w:val="333333"/>
        </w:rPr>
        <w:t>Which Product Types (e.g., Automotive, Electronics, Textiles) yield the highest volume of 'Defects' and 'Quality Checks Failed'?</w:t>
      </w:r>
    </w:p>
    <w:p w14:paraId="52288F79">
      <w:pPr>
        <w:pStyle w:val="23"/>
        <w:spacing w:after="60"/>
      </w:pPr>
      <w:r>
        <w:rPr>
          <w:b/>
          <w:color w:val="333333"/>
        </w:rPr>
        <w:t xml:space="preserve">Analytic Focus 2.2: </w:t>
      </w:r>
      <w:r>
        <w:rPr>
          <w:color w:val="333333"/>
        </w:rPr>
        <w:t>Analyze whether high 'Scrap Rates' are driven by specific operators, machinery, or are unique to specific product lines.</w:t>
      </w:r>
    </w:p>
    <w:p w14:paraId="5D6EDE34">
      <w:pPr>
        <w:pStyle w:val="23"/>
        <w:spacing w:after="60"/>
      </w:pPr>
      <w:r>
        <w:rPr>
          <w:b/>
          <w:color w:val="333333"/>
        </w:rPr>
        <w:t xml:space="preserve">Analytic Focus 2.3: </w:t>
      </w:r>
      <w:r>
        <w:rPr>
          <w:color w:val="333333"/>
        </w:rPr>
        <w:t>Investigate the correlation between 'Rework Hours' and 'Labour Cost Per Hour'—are we spending too much paying premium shift rates to fix mistakes?</w:t>
      </w:r>
    </w:p>
    <w:p w14:paraId="4E86F0E4">
      <w:pPr>
        <w:keepNext/>
        <w:spacing w:before="240" w:after="80"/>
      </w:pPr>
      <w:r>
        <w:rPr>
          <w:rFonts w:ascii="Arial" w:hAnsi="Arial"/>
          <w:b/>
          <w:color w:val="5C768D"/>
          <w:sz w:val="26"/>
        </w:rPr>
        <w:t>BR-03: Shift Performance and Operational Bottlenecks</w:t>
      </w:r>
    </w:p>
    <w:p w14:paraId="496F4B5D">
      <w:r>
        <w:t>Our plant runs on a continuous three-shift cycle (Day, Swing, Night).</w:t>
      </w:r>
    </w:p>
    <w:p w14:paraId="40988F7B">
      <w:pPr>
        <w:pStyle w:val="23"/>
        <w:spacing w:after="60"/>
      </w:pPr>
      <w:r>
        <w:rPr>
          <w:b/>
          <w:color w:val="333333"/>
        </w:rPr>
        <w:t xml:space="preserve">Analytic Focus 3.1: </w:t>
      </w:r>
      <w:r>
        <w:rPr>
          <w:color w:val="333333"/>
        </w:rPr>
        <w:t>Is there a statistically significant drop in 'Units Produced' or spike in 'Defects' during the Night or Swing shift?</w:t>
      </w:r>
    </w:p>
    <w:p w14:paraId="7BF2F79C">
      <w:pPr>
        <w:pStyle w:val="23"/>
        <w:spacing w:after="60"/>
      </w:pPr>
      <w:r>
        <w:rPr>
          <w:b/>
          <w:color w:val="333333"/>
        </w:rPr>
        <w:t xml:space="preserve">Analytic Focus 3.2: </w:t>
      </w:r>
      <w:r>
        <w:rPr>
          <w:color w:val="333333"/>
        </w:rPr>
        <w:t>Does an increased 'Operator Count' actually boost unit yield, or do we have a labor bottleneck or over-staffing problem on certain lines?</w:t>
      </w:r>
    </w:p>
    <w:p w14:paraId="56609DA4">
      <w:pPr>
        <w:keepNext/>
        <w:spacing w:before="240" w:after="80"/>
      </w:pPr>
      <w:r>
        <w:rPr>
          <w:rFonts w:ascii="Arial" w:hAnsi="Arial"/>
          <w:b/>
          <w:color w:val="5C768D"/>
          <w:sz w:val="26"/>
        </w:rPr>
        <w:t>BR-04: Environmental Floor Dynamics and Utility Management</w:t>
      </w:r>
    </w:p>
    <w:p w14:paraId="20BAA72C">
      <w:r>
        <w:t>Machinery calibration and material composition are highly sensitive to micro-climatic variances.</w:t>
      </w:r>
    </w:p>
    <w:p w14:paraId="0397AAAF">
      <w:pPr>
        <w:pStyle w:val="23"/>
        <w:spacing w:after="60"/>
      </w:pPr>
      <w:r>
        <w:rPr>
          <w:b/>
          <w:color w:val="333333"/>
        </w:rPr>
        <w:t xml:space="preserve">Analytic Focus 4.1: </w:t>
      </w:r>
      <w:r>
        <w:rPr>
          <w:color w:val="333333"/>
        </w:rPr>
        <w:t>Evaluate whether spikes in 'Average Temperature C' or 'Average Humidity Percent' map directly to high defect logs or abrupt machine breakdowns.</w:t>
      </w:r>
    </w:p>
    <w:p w14:paraId="1A407025">
      <w:pPr>
        <w:pStyle w:val="23"/>
        <w:spacing w:after="60"/>
      </w:pPr>
      <w:r>
        <w:rPr>
          <w:b/>
          <w:color w:val="333333"/>
        </w:rPr>
        <w:t xml:space="preserve">Analytic Focus 4.2: </w:t>
      </w:r>
      <w:r>
        <w:rPr>
          <w:color w:val="333333"/>
        </w:rPr>
        <w:t>Identify if 'Energy Consumption kWh' spikes are driven by external seasonal temperatures or by machinery running past scheduled shift limits.</w:t>
      </w:r>
    </w:p>
    <w:p w14:paraId="35C43F66">
      <w:pPr>
        <w:keepNext/>
        <w:spacing w:before="360" w:after="120"/>
      </w:pPr>
      <w:r>
        <w:rPr>
          <w:rFonts w:ascii="Arial" w:hAnsi="Arial"/>
          <w:b/>
          <w:color w:val="1B365D"/>
          <w:sz w:val="32"/>
        </w:rPr>
        <w:t>4. Expected Deliverables &amp; Output Specifications</w:t>
      </w:r>
    </w:p>
    <w:p w14:paraId="6B8DB4AC">
      <w:r>
        <w:t>To implement these changes across the plant floor, the analytics team must deliver the following artifacts:</w:t>
      </w:r>
    </w:p>
    <w:p w14:paraId="763660C4">
      <w:pPr>
        <w:pStyle w:val="23"/>
        <w:spacing w:after="60"/>
      </w:pPr>
      <w:r>
        <w:rPr>
          <w:b/>
          <w:color w:val="333333"/>
        </w:rPr>
        <w:t xml:space="preserve">1. Executive Reporting Interface: </w:t>
      </w:r>
      <w:r>
        <w:rPr>
          <w:color w:val="333333"/>
        </w:rPr>
        <w:t>An interactive analytical interface or dashboard with clean filters for Shift, Machine ID, and Product Type.</w:t>
      </w:r>
    </w:p>
    <w:p w14:paraId="10BFD3C5">
      <w:pPr>
        <w:pStyle w:val="23"/>
        <w:spacing w:after="60"/>
      </w:pPr>
      <w:r>
        <w:rPr>
          <w:b/>
          <w:color w:val="333333"/>
        </w:rPr>
        <w:t xml:space="preserve">2. Environmental Impact Matrix: </w:t>
      </w:r>
      <w:r>
        <w:rPr>
          <w:color w:val="333333"/>
        </w:rPr>
        <w:t>A statistical correlation matrix proving or disproving environmental impacts on quality metrics.</w:t>
      </w:r>
    </w:p>
    <w:p w14:paraId="6F1A7DED">
      <w:pPr>
        <w:pStyle w:val="23"/>
        <w:spacing w:after="60"/>
      </w:pPr>
      <w:r>
        <w:rPr>
          <w:b/>
          <w:color w:val="333333"/>
        </w:rPr>
        <w:t xml:space="preserve">3. At-Risk Asset Directory: </w:t>
      </w:r>
      <w:r>
        <w:rPr>
          <w:color w:val="333333"/>
        </w:rPr>
        <w:t>A priority tiering of the top 3 machines requiring urgent engineering inspection.</w:t>
      </w:r>
    </w:p>
    <w:p w14:paraId="573943C9">
      <w:pPr>
        <w:pStyle w:val="23"/>
        <w:spacing w:after="60"/>
      </w:pPr>
      <w:r>
        <w:rPr>
          <w:b/>
          <w:color w:val="333333"/>
        </w:rPr>
        <w:t xml:space="preserve">4. Cleaned Data Dictionary: </w:t>
      </w:r>
      <w:r>
        <w:rPr>
          <w:color w:val="333333"/>
        </w:rPr>
        <w:t>A clean data definition file outlining missing row handling rules (e.g., empty Rework Hours).</w:t>
      </w:r>
    </w:p>
    <w:p w14:paraId="644D73C3">
      <w:pPr>
        <w:keepNext/>
        <w:spacing w:before="360" w:after="120"/>
        <w:rPr>
          <w:rFonts w:ascii="Arial" w:hAnsi="Arial"/>
          <w:b/>
          <w:color w:val="1B365D"/>
          <w:sz w:val="32"/>
        </w:rPr>
      </w:pPr>
    </w:p>
    <w:p w14:paraId="56A188FC">
      <w:pPr>
        <w:keepNext/>
        <w:spacing w:before="360" w:after="120"/>
        <w:rPr>
          <w:rFonts w:ascii="Arial" w:hAnsi="Arial"/>
          <w:b/>
          <w:color w:val="1B365D"/>
          <w:sz w:val="32"/>
        </w:rPr>
      </w:pPr>
    </w:p>
    <w:p w14:paraId="14E533D8">
      <w:pPr>
        <w:keepNext/>
        <w:spacing w:before="360" w:after="120"/>
        <w:rPr>
          <w:rFonts w:ascii="Arial" w:hAnsi="Arial"/>
          <w:b/>
          <w:color w:val="1B365D"/>
          <w:sz w:val="32"/>
        </w:rPr>
      </w:pPr>
    </w:p>
    <w:p w14:paraId="131D3E20">
      <w:pPr>
        <w:keepNext/>
        <w:spacing w:before="360" w:after="120"/>
      </w:pPr>
      <w:bookmarkStart w:id="0" w:name="_GoBack"/>
      <w:bookmarkEnd w:id="0"/>
      <w:r>
        <w:rPr>
          <w:rFonts w:ascii="Arial" w:hAnsi="Arial"/>
          <w:b/>
          <w:color w:val="1B365D"/>
          <w:sz w:val="32"/>
        </w:rPr>
        <w:t>5. Manufacturing Dataset Schema &amp; Specifications</w:t>
      </w:r>
    </w:p>
    <w:p w14:paraId="3E7BCEF5">
      <w:r>
        <w:t>The attached dataset contains the following precise engineering fields. Ensure all fields are formatted correctly prior to analysis:</w:t>
      </w:r>
    </w:p>
    <w:tbl>
      <w:tblPr>
        <w:tblStyle w:val="12"/>
        <w:tblW w:w="0" w:type="auto"/>
        <w:jc w:val="center"/>
        <w:tblLayout w:type="autofit"/>
        <w:tblCellMar>
          <w:top w:w="0" w:type="dxa"/>
          <w:left w:w="108" w:type="dxa"/>
          <w:bottom w:w="0" w:type="dxa"/>
          <w:right w:w="108" w:type="dxa"/>
        </w:tblCellMar>
      </w:tblPr>
      <w:tblGrid>
        <w:gridCol w:w="1821"/>
        <w:gridCol w:w="1142"/>
        <w:gridCol w:w="3913"/>
        <w:gridCol w:w="2700"/>
      </w:tblGrid>
      <w:tr w14:paraId="7FF9B242">
        <w:tblPrEx>
          <w:tblCellMar>
            <w:top w:w="0" w:type="dxa"/>
            <w:left w:w="108" w:type="dxa"/>
            <w:bottom w:w="0" w:type="dxa"/>
            <w:right w:w="108" w:type="dxa"/>
          </w:tblCellMar>
        </w:tblPrEx>
        <w:trPr>
          <w:jc w:val="center"/>
        </w:trPr>
        <w:tc>
          <w:tcPr>
            <w:tcW w:w="1872" w:type="dxa"/>
            <w:shd w:val="clear" w:color="auto" w:fill="1B365D"/>
          </w:tcPr>
          <w:p w14:paraId="2E055B9F">
            <w:r>
              <w:rPr>
                <w:b/>
                <w:color w:val="FFFFFF"/>
              </w:rPr>
              <w:t>Column Name</w:t>
            </w:r>
          </w:p>
        </w:tc>
        <w:tc>
          <w:tcPr>
            <w:tcW w:w="1152" w:type="dxa"/>
            <w:shd w:val="clear" w:color="auto" w:fill="1B365D"/>
          </w:tcPr>
          <w:p w14:paraId="4EAE24DF">
            <w:r>
              <w:rPr>
                <w:b/>
                <w:color w:val="FFFFFF"/>
              </w:rPr>
              <w:t>Type</w:t>
            </w:r>
          </w:p>
        </w:tc>
        <w:tc>
          <w:tcPr>
            <w:tcW w:w="4176" w:type="dxa"/>
            <w:shd w:val="clear" w:color="auto" w:fill="1B365D"/>
          </w:tcPr>
          <w:p w14:paraId="34597579">
            <w:r>
              <w:rPr>
                <w:b/>
                <w:color w:val="FFFFFF"/>
              </w:rPr>
              <w:t>Operational Description</w:t>
            </w:r>
          </w:p>
        </w:tc>
        <w:tc>
          <w:tcPr>
            <w:tcW w:w="2880" w:type="dxa"/>
            <w:shd w:val="clear" w:color="auto" w:fill="1B365D"/>
          </w:tcPr>
          <w:p w14:paraId="424CC85E">
            <w:r>
              <w:rPr>
                <w:b/>
                <w:color w:val="FFFFFF"/>
              </w:rPr>
              <w:t>Expected Analytical Range / Use</w:t>
            </w:r>
          </w:p>
        </w:tc>
      </w:tr>
      <w:tr w14:paraId="2C08A25A">
        <w:tblPrEx>
          <w:tblCellMar>
            <w:top w:w="0" w:type="dxa"/>
            <w:left w:w="108" w:type="dxa"/>
            <w:bottom w:w="0" w:type="dxa"/>
            <w:right w:w="108" w:type="dxa"/>
          </w:tblCellMar>
        </w:tblPrEx>
        <w:trPr>
          <w:jc w:val="center"/>
        </w:trPr>
        <w:tc>
          <w:tcPr>
            <w:tcW w:w="1872" w:type="dxa"/>
          </w:tcPr>
          <w:p w14:paraId="4BD1A9A1">
            <w:r>
              <w:t>Production ID</w:t>
            </w:r>
          </w:p>
        </w:tc>
        <w:tc>
          <w:tcPr>
            <w:tcW w:w="1152" w:type="dxa"/>
          </w:tcPr>
          <w:p w14:paraId="06D5CA93">
            <w:r>
              <w:t>Date/ID</w:t>
            </w:r>
          </w:p>
        </w:tc>
        <w:tc>
          <w:tcPr>
            <w:tcW w:w="4176" w:type="dxa"/>
          </w:tcPr>
          <w:p w14:paraId="410497FE">
            <w:r>
              <w:t>Unique index tag tracking the specific batch start sequence.</w:t>
            </w:r>
          </w:p>
        </w:tc>
        <w:tc>
          <w:tcPr>
            <w:tcW w:w="2880" w:type="dxa"/>
          </w:tcPr>
          <w:p w14:paraId="1B8F90B6">
            <w:r>
              <w:t>Time-series sequencing and unique identifier.</w:t>
            </w:r>
          </w:p>
        </w:tc>
      </w:tr>
      <w:tr w14:paraId="76773B56">
        <w:tblPrEx>
          <w:tblCellMar>
            <w:top w:w="0" w:type="dxa"/>
            <w:left w:w="108" w:type="dxa"/>
            <w:bottom w:w="0" w:type="dxa"/>
            <w:right w:w="108" w:type="dxa"/>
          </w:tblCellMar>
        </w:tblPrEx>
        <w:trPr>
          <w:jc w:val="center"/>
        </w:trPr>
        <w:tc>
          <w:tcPr>
            <w:tcW w:w="1872" w:type="dxa"/>
            <w:shd w:val="clear" w:color="auto" w:fill="F9FAFB"/>
          </w:tcPr>
          <w:p w14:paraId="375D26AE">
            <w:r>
              <w:t>Date</w:t>
            </w:r>
          </w:p>
        </w:tc>
        <w:tc>
          <w:tcPr>
            <w:tcW w:w="1152" w:type="dxa"/>
            <w:shd w:val="clear" w:color="auto" w:fill="F9FAFB"/>
          </w:tcPr>
          <w:p w14:paraId="6CED1D2C">
            <w:r>
              <w:t>Date</w:t>
            </w:r>
          </w:p>
        </w:tc>
        <w:tc>
          <w:tcPr>
            <w:tcW w:w="4176" w:type="dxa"/>
            <w:shd w:val="clear" w:color="auto" w:fill="F9FAFB"/>
          </w:tcPr>
          <w:p w14:paraId="2722CDCD">
            <w:r>
              <w:t>The operational calendar date when data was captured.</w:t>
            </w:r>
          </w:p>
        </w:tc>
        <w:tc>
          <w:tcPr>
            <w:tcW w:w="2880" w:type="dxa"/>
            <w:shd w:val="clear" w:color="auto" w:fill="F9FAFB"/>
          </w:tcPr>
          <w:p w14:paraId="2295A3C0">
            <w:r>
              <w:t>Groupings by day, week, month, or season.</w:t>
            </w:r>
          </w:p>
        </w:tc>
      </w:tr>
      <w:tr w14:paraId="525D4F24">
        <w:tblPrEx>
          <w:tblCellMar>
            <w:top w:w="0" w:type="dxa"/>
            <w:left w:w="108" w:type="dxa"/>
            <w:bottom w:w="0" w:type="dxa"/>
            <w:right w:w="108" w:type="dxa"/>
          </w:tblCellMar>
        </w:tblPrEx>
        <w:trPr>
          <w:jc w:val="center"/>
        </w:trPr>
        <w:tc>
          <w:tcPr>
            <w:tcW w:w="1872" w:type="dxa"/>
          </w:tcPr>
          <w:p w14:paraId="68ADE57B">
            <w:r>
              <w:t>Product Type</w:t>
            </w:r>
          </w:p>
        </w:tc>
        <w:tc>
          <w:tcPr>
            <w:tcW w:w="1152" w:type="dxa"/>
          </w:tcPr>
          <w:p w14:paraId="57A1F8DB">
            <w:r>
              <w:t>String</w:t>
            </w:r>
          </w:p>
        </w:tc>
        <w:tc>
          <w:tcPr>
            <w:tcW w:w="4176" w:type="dxa"/>
          </w:tcPr>
          <w:p w14:paraId="58709019">
            <w:r>
              <w:t>The consumer category being processed on the line.</w:t>
            </w:r>
          </w:p>
        </w:tc>
        <w:tc>
          <w:tcPr>
            <w:tcW w:w="2880" w:type="dxa"/>
          </w:tcPr>
          <w:p w14:paraId="60BFBC71">
            <w:r>
              <w:t>Automotive, Electronics, Textiles, Appliances.</w:t>
            </w:r>
          </w:p>
        </w:tc>
      </w:tr>
      <w:tr w14:paraId="437E956F">
        <w:tblPrEx>
          <w:tblCellMar>
            <w:top w:w="0" w:type="dxa"/>
            <w:left w:w="108" w:type="dxa"/>
            <w:bottom w:w="0" w:type="dxa"/>
            <w:right w:w="108" w:type="dxa"/>
          </w:tblCellMar>
        </w:tblPrEx>
        <w:trPr>
          <w:jc w:val="center"/>
        </w:trPr>
        <w:tc>
          <w:tcPr>
            <w:tcW w:w="1872" w:type="dxa"/>
            <w:shd w:val="clear" w:color="auto" w:fill="F9FAFB"/>
          </w:tcPr>
          <w:p w14:paraId="199BFF18">
            <w:r>
              <w:t>Machine ID</w:t>
            </w:r>
          </w:p>
        </w:tc>
        <w:tc>
          <w:tcPr>
            <w:tcW w:w="1152" w:type="dxa"/>
            <w:shd w:val="clear" w:color="auto" w:fill="F9FAFB"/>
          </w:tcPr>
          <w:p w14:paraId="47E0D226">
            <w:r>
              <w:t>Integer</w:t>
            </w:r>
          </w:p>
        </w:tc>
        <w:tc>
          <w:tcPr>
            <w:tcW w:w="4176" w:type="dxa"/>
            <w:shd w:val="clear" w:color="auto" w:fill="F9FAFB"/>
          </w:tcPr>
          <w:p w14:paraId="27B47620">
            <w:r>
              <w:t>Asset identity tag for the physical plant floor machine.</w:t>
            </w:r>
          </w:p>
        </w:tc>
        <w:tc>
          <w:tcPr>
            <w:tcW w:w="2880" w:type="dxa"/>
            <w:shd w:val="clear" w:color="auto" w:fill="F9FAFB"/>
          </w:tcPr>
          <w:p w14:paraId="19B4597E">
            <w:r>
              <w:t>Isolate mechanical wear and failure profiles.</w:t>
            </w:r>
          </w:p>
        </w:tc>
      </w:tr>
      <w:tr w14:paraId="7A2ADFB0">
        <w:tblPrEx>
          <w:tblCellMar>
            <w:top w:w="0" w:type="dxa"/>
            <w:left w:w="108" w:type="dxa"/>
            <w:bottom w:w="0" w:type="dxa"/>
            <w:right w:w="108" w:type="dxa"/>
          </w:tblCellMar>
        </w:tblPrEx>
        <w:trPr>
          <w:jc w:val="center"/>
        </w:trPr>
        <w:tc>
          <w:tcPr>
            <w:tcW w:w="1872" w:type="dxa"/>
          </w:tcPr>
          <w:p w14:paraId="53BECFE8">
            <w:r>
              <w:t>Shift</w:t>
            </w:r>
          </w:p>
        </w:tc>
        <w:tc>
          <w:tcPr>
            <w:tcW w:w="1152" w:type="dxa"/>
          </w:tcPr>
          <w:p w14:paraId="3D38480B">
            <w:r>
              <w:t>String</w:t>
            </w:r>
          </w:p>
        </w:tc>
        <w:tc>
          <w:tcPr>
            <w:tcW w:w="4176" w:type="dxa"/>
          </w:tcPr>
          <w:p w14:paraId="21F99466">
            <w:r>
              <w:t>The active work window of the staff team.</w:t>
            </w:r>
          </w:p>
        </w:tc>
        <w:tc>
          <w:tcPr>
            <w:tcW w:w="2880" w:type="dxa"/>
          </w:tcPr>
          <w:p w14:paraId="6495C805">
            <w:r>
              <w:t>Day, Swing, Night shift productivity evaluation.</w:t>
            </w:r>
          </w:p>
        </w:tc>
      </w:tr>
      <w:tr w14:paraId="3EDDD97C">
        <w:tblPrEx>
          <w:tblCellMar>
            <w:top w:w="0" w:type="dxa"/>
            <w:left w:w="108" w:type="dxa"/>
            <w:bottom w:w="0" w:type="dxa"/>
            <w:right w:w="108" w:type="dxa"/>
          </w:tblCellMar>
        </w:tblPrEx>
        <w:trPr>
          <w:jc w:val="center"/>
        </w:trPr>
        <w:tc>
          <w:tcPr>
            <w:tcW w:w="1872" w:type="dxa"/>
            <w:shd w:val="clear" w:color="auto" w:fill="F9FAFB"/>
          </w:tcPr>
          <w:p w14:paraId="69B36522">
            <w:r>
              <w:t>Units Produced</w:t>
            </w:r>
          </w:p>
        </w:tc>
        <w:tc>
          <w:tcPr>
            <w:tcW w:w="1152" w:type="dxa"/>
            <w:shd w:val="clear" w:color="auto" w:fill="F9FAFB"/>
          </w:tcPr>
          <w:p w14:paraId="5ED4B7E8">
            <w:r>
              <w:t>Integer</w:t>
            </w:r>
          </w:p>
        </w:tc>
        <w:tc>
          <w:tcPr>
            <w:tcW w:w="4176" w:type="dxa"/>
            <w:shd w:val="clear" w:color="auto" w:fill="F9FAFB"/>
          </w:tcPr>
          <w:p w14:paraId="13663734">
            <w:r>
              <w:t>Gross output of physical items created during the block.</w:t>
            </w:r>
          </w:p>
        </w:tc>
        <w:tc>
          <w:tcPr>
            <w:tcW w:w="2880" w:type="dxa"/>
            <w:shd w:val="clear" w:color="auto" w:fill="F9FAFB"/>
          </w:tcPr>
          <w:p w14:paraId="0704992D">
            <w:r>
              <w:t>Primary capacity scale baseline metric.</w:t>
            </w:r>
          </w:p>
        </w:tc>
      </w:tr>
      <w:tr w14:paraId="53480CEB">
        <w:tblPrEx>
          <w:tblCellMar>
            <w:top w:w="0" w:type="dxa"/>
            <w:left w:w="108" w:type="dxa"/>
            <w:bottom w:w="0" w:type="dxa"/>
            <w:right w:w="108" w:type="dxa"/>
          </w:tblCellMar>
        </w:tblPrEx>
        <w:trPr>
          <w:jc w:val="center"/>
        </w:trPr>
        <w:tc>
          <w:tcPr>
            <w:tcW w:w="1872" w:type="dxa"/>
          </w:tcPr>
          <w:p w14:paraId="0304358F">
            <w:r>
              <w:t>Defects</w:t>
            </w:r>
          </w:p>
        </w:tc>
        <w:tc>
          <w:tcPr>
            <w:tcW w:w="1152" w:type="dxa"/>
          </w:tcPr>
          <w:p w14:paraId="4697C936">
            <w:r>
              <w:t>Integer</w:t>
            </w:r>
          </w:p>
        </w:tc>
        <w:tc>
          <w:tcPr>
            <w:tcW w:w="4176" w:type="dxa"/>
          </w:tcPr>
          <w:p w14:paraId="74AC6041">
            <w:r>
              <w:t>Items failing initial structural/functional requirements.</w:t>
            </w:r>
          </w:p>
        </w:tc>
        <w:tc>
          <w:tcPr>
            <w:tcW w:w="2880" w:type="dxa"/>
          </w:tcPr>
          <w:p w14:paraId="5FC0E394">
            <w:r>
              <w:t>Numerator for calculating raw line Yield Rate.</w:t>
            </w:r>
          </w:p>
        </w:tc>
      </w:tr>
      <w:tr w14:paraId="3E6C70AF">
        <w:tblPrEx>
          <w:tblCellMar>
            <w:top w:w="0" w:type="dxa"/>
            <w:left w:w="108" w:type="dxa"/>
            <w:bottom w:w="0" w:type="dxa"/>
            <w:right w:w="108" w:type="dxa"/>
          </w:tblCellMar>
        </w:tblPrEx>
        <w:trPr>
          <w:jc w:val="center"/>
        </w:trPr>
        <w:tc>
          <w:tcPr>
            <w:tcW w:w="1872" w:type="dxa"/>
            <w:shd w:val="clear" w:color="auto" w:fill="F9FAFB"/>
          </w:tcPr>
          <w:p w14:paraId="556C409C">
            <w:r>
              <w:t>Production Time Hours</w:t>
            </w:r>
          </w:p>
        </w:tc>
        <w:tc>
          <w:tcPr>
            <w:tcW w:w="1152" w:type="dxa"/>
            <w:shd w:val="clear" w:color="auto" w:fill="F9FAFB"/>
          </w:tcPr>
          <w:p w14:paraId="668EC983">
            <w:r>
              <w:t>Decimal</w:t>
            </w:r>
          </w:p>
        </w:tc>
        <w:tc>
          <w:tcPr>
            <w:tcW w:w="4176" w:type="dxa"/>
            <w:shd w:val="clear" w:color="auto" w:fill="F9FAFB"/>
          </w:tcPr>
          <w:p w14:paraId="45CEF1F1">
            <w:r>
              <w:t>Total hours the machine asset was active and running.</w:t>
            </w:r>
          </w:p>
        </w:tc>
        <w:tc>
          <w:tcPr>
            <w:tcW w:w="2880" w:type="dxa"/>
            <w:shd w:val="clear" w:color="auto" w:fill="F9FAFB"/>
          </w:tcPr>
          <w:p w14:paraId="2D02ED7D">
            <w:r>
              <w:t>Speed and throughput denominator calculation.</w:t>
            </w:r>
          </w:p>
        </w:tc>
      </w:tr>
      <w:tr w14:paraId="41630CA0">
        <w:tblPrEx>
          <w:tblCellMar>
            <w:top w:w="0" w:type="dxa"/>
            <w:left w:w="108" w:type="dxa"/>
            <w:bottom w:w="0" w:type="dxa"/>
            <w:right w:w="108" w:type="dxa"/>
          </w:tblCellMar>
        </w:tblPrEx>
        <w:trPr>
          <w:jc w:val="center"/>
        </w:trPr>
        <w:tc>
          <w:tcPr>
            <w:tcW w:w="1872" w:type="dxa"/>
          </w:tcPr>
          <w:p w14:paraId="38EE963F">
            <w:r>
              <w:t>Material Cost Per Unit</w:t>
            </w:r>
          </w:p>
        </w:tc>
        <w:tc>
          <w:tcPr>
            <w:tcW w:w="1152" w:type="dxa"/>
          </w:tcPr>
          <w:p w14:paraId="6DE1EEE5">
            <w:r>
              <w:t>Currency</w:t>
            </w:r>
          </w:p>
        </w:tc>
        <w:tc>
          <w:tcPr>
            <w:tcW w:w="4176" w:type="dxa"/>
          </w:tcPr>
          <w:p w14:paraId="44171D47">
            <w:r>
              <w:t>Direct raw input cost for a single unit.</w:t>
            </w:r>
          </w:p>
        </w:tc>
        <w:tc>
          <w:tcPr>
            <w:tcW w:w="2880" w:type="dxa"/>
          </w:tcPr>
          <w:p w14:paraId="53B1EE56">
            <w:r>
              <w:t>Financial analysis of waste and material costs.</w:t>
            </w:r>
          </w:p>
        </w:tc>
      </w:tr>
      <w:tr w14:paraId="42BFD198">
        <w:tblPrEx>
          <w:tblCellMar>
            <w:top w:w="0" w:type="dxa"/>
            <w:left w:w="108" w:type="dxa"/>
            <w:bottom w:w="0" w:type="dxa"/>
            <w:right w:w="108" w:type="dxa"/>
          </w:tblCellMar>
        </w:tblPrEx>
        <w:trPr>
          <w:jc w:val="center"/>
        </w:trPr>
        <w:tc>
          <w:tcPr>
            <w:tcW w:w="1872" w:type="dxa"/>
            <w:shd w:val="clear" w:color="auto" w:fill="F9FAFB"/>
          </w:tcPr>
          <w:p w14:paraId="61C057F9">
            <w:r>
              <w:t>Labour Cost Per Hour</w:t>
            </w:r>
          </w:p>
        </w:tc>
        <w:tc>
          <w:tcPr>
            <w:tcW w:w="1152" w:type="dxa"/>
            <w:shd w:val="clear" w:color="auto" w:fill="F9FAFB"/>
          </w:tcPr>
          <w:p w14:paraId="50EB5B68">
            <w:r>
              <w:t>Currency</w:t>
            </w:r>
          </w:p>
        </w:tc>
        <w:tc>
          <w:tcPr>
            <w:tcW w:w="4176" w:type="dxa"/>
            <w:shd w:val="clear" w:color="auto" w:fill="F9FAFB"/>
          </w:tcPr>
          <w:p w14:paraId="361FA43E">
            <w:r>
              <w:t>Hourly wage tier allocated to the line crew.</w:t>
            </w:r>
          </w:p>
        </w:tc>
        <w:tc>
          <w:tcPr>
            <w:tcW w:w="2880" w:type="dxa"/>
            <w:shd w:val="clear" w:color="auto" w:fill="F9FAFB"/>
          </w:tcPr>
          <w:p w14:paraId="57F0F291">
            <w:r>
              <w:t>Labor efficiency and premium hour costing.</w:t>
            </w:r>
          </w:p>
        </w:tc>
      </w:tr>
      <w:tr w14:paraId="55EF04B6">
        <w:tblPrEx>
          <w:tblCellMar>
            <w:top w:w="0" w:type="dxa"/>
            <w:left w:w="108" w:type="dxa"/>
            <w:bottom w:w="0" w:type="dxa"/>
            <w:right w:w="108" w:type="dxa"/>
          </w:tblCellMar>
        </w:tblPrEx>
        <w:trPr>
          <w:jc w:val="center"/>
        </w:trPr>
        <w:tc>
          <w:tcPr>
            <w:tcW w:w="1872" w:type="dxa"/>
          </w:tcPr>
          <w:p w14:paraId="176C8DB0">
            <w:r>
              <w:t>Energy Consumption kWh</w:t>
            </w:r>
          </w:p>
        </w:tc>
        <w:tc>
          <w:tcPr>
            <w:tcW w:w="1152" w:type="dxa"/>
          </w:tcPr>
          <w:p w14:paraId="073AC930">
            <w:r>
              <w:t>Decimal</w:t>
            </w:r>
          </w:p>
        </w:tc>
        <w:tc>
          <w:tcPr>
            <w:tcW w:w="4176" w:type="dxa"/>
          </w:tcPr>
          <w:p w14:paraId="041E03AA">
            <w:r>
              <w:t>Electricity power drawn by the asset during the block.</w:t>
            </w:r>
          </w:p>
        </w:tc>
        <w:tc>
          <w:tcPr>
            <w:tcW w:w="2880" w:type="dxa"/>
          </w:tcPr>
          <w:p w14:paraId="61AB7783">
            <w:r>
              <w:t>Carbon footprint monitoring and utility budgeting.</w:t>
            </w:r>
          </w:p>
        </w:tc>
      </w:tr>
      <w:tr w14:paraId="52C5AE19">
        <w:tblPrEx>
          <w:tblCellMar>
            <w:top w:w="0" w:type="dxa"/>
            <w:left w:w="108" w:type="dxa"/>
            <w:bottom w:w="0" w:type="dxa"/>
            <w:right w:w="108" w:type="dxa"/>
          </w:tblCellMar>
        </w:tblPrEx>
        <w:trPr>
          <w:jc w:val="center"/>
        </w:trPr>
        <w:tc>
          <w:tcPr>
            <w:tcW w:w="1872" w:type="dxa"/>
            <w:shd w:val="clear" w:color="auto" w:fill="F9FAFB"/>
          </w:tcPr>
          <w:p w14:paraId="66767B04">
            <w:r>
              <w:t>Operator Count</w:t>
            </w:r>
          </w:p>
        </w:tc>
        <w:tc>
          <w:tcPr>
            <w:tcW w:w="1152" w:type="dxa"/>
            <w:shd w:val="clear" w:color="auto" w:fill="F9FAFB"/>
          </w:tcPr>
          <w:p w14:paraId="58977FBE">
            <w:r>
              <w:t>Integer</w:t>
            </w:r>
          </w:p>
        </w:tc>
        <w:tc>
          <w:tcPr>
            <w:tcW w:w="4176" w:type="dxa"/>
            <w:shd w:val="clear" w:color="auto" w:fill="F9FAFB"/>
          </w:tcPr>
          <w:p w14:paraId="530A4501">
            <w:r>
              <w:t>Total head count of staff running the machine asset.</w:t>
            </w:r>
          </w:p>
        </w:tc>
        <w:tc>
          <w:tcPr>
            <w:tcW w:w="2880" w:type="dxa"/>
            <w:shd w:val="clear" w:color="auto" w:fill="F9FAFB"/>
          </w:tcPr>
          <w:p w14:paraId="1750C981">
            <w:r>
              <w:t>Labor scaling curves and bottleneck analysis.</w:t>
            </w:r>
          </w:p>
        </w:tc>
      </w:tr>
      <w:tr w14:paraId="529594E5">
        <w:tblPrEx>
          <w:tblCellMar>
            <w:top w:w="0" w:type="dxa"/>
            <w:left w:w="108" w:type="dxa"/>
            <w:bottom w:w="0" w:type="dxa"/>
            <w:right w:w="108" w:type="dxa"/>
          </w:tblCellMar>
        </w:tblPrEx>
        <w:trPr>
          <w:jc w:val="center"/>
        </w:trPr>
        <w:tc>
          <w:tcPr>
            <w:tcW w:w="1872" w:type="dxa"/>
          </w:tcPr>
          <w:p w14:paraId="168F0F07">
            <w:r>
              <w:t>Maintenance Hours</w:t>
            </w:r>
          </w:p>
        </w:tc>
        <w:tc>
          <w:tcPr>
            <w:tcW w:w="1152" w:type="dxa"/>
          </w:tcPr>
          <w:p w14:paraId="7754EDD9">
            <w:r>
              <w:t>Decimal</w:t>
            </w:r>
          </w:p>
        </w:tc>
        <w:tc>
          <w:tcPr>
            <w:tcW w:w="4176" w:type="dxa"/>
          </w:tcPr>
          <w:p w14:paraId="5D242E74">
            <w:r>
              <w:t>Time dedicated to machine tuning or calibration.</w:t>
            </w:r>
          </w:p>
        </w:tc>
        <w:tc>
          <w:tcPr>
            <w:tcW w:w="2880" w:type="dxa"/>
          </w:tcPr>
          <w:p w14:paraId="4AAAEC9D">
            <w:r>
              <w:t>Proactive maintenance versus breakdown evaluation.</w:t>
            </w:r>
          </w:p>
        </w:tc>
      </w:tr>
      <w:tr w14:paraId="42D84056">
        <w:tblPrEx>
          <w:tblCellMar>
            <w:top w:w="0" w:type="dxa"/>
            <w:left w:w="108" w:type="dxa"/>
            <w:bottom w:w="0" w:type="dxa"/>
            <w:right w:w="108" w:type="dxa"/>
          </w:tblCellMar>
        </w:tblPrEx>
        <w:trPr>
          <w:jc w:val="center"/>
        </w:trPr>
        <w:tc>
          <w:tcPr>
            <w:tcW w:w="1872" w:type="dxa"/>
            <w:shd w:val="clear" w:color="auto" w:fill="F9FAFB"/>
          </w:tcPr>
          <w:p w14:paraId="4E5812A8">
            <w:r>
              <w:t>Down time Hours</w:t>
            </w:r>
          </w:p>
        </w:tc>
        <w:tc>
          <w:tcPr>
            <w:tcW w:w="1152" w:type="dxa"/>
            <w:shd w:val="clear" w:color="auto" w:fill="F9FAFB"/>
          </w:tcPr>
          <w:p w14:paraId="732401D3">
            <w:r>
              <w:t>Decimal</w:t>
            </w:r>
          </w:p>
        </w:tc>
        <w:tc>
          <w:tcPr>
            <w:tcW w:w="4176" w:type="dxa"/>
            <w:shd w:val="clear" w:color="auto" w:fill="F9FAFB"/>
          </w:tcPr>
          <w:p w14:paraId="2FEBF2F4">
            <w:r>
              <w:t>Duration where the asset stopped due to unexpected errors.</w:t>
            </w:r>
          </w:p>
        </w:tc>
        <w:tc>
          <w:tcPr>
            <w:tcW w:w="2880" w:type="dxa"/>
            <w:shd w:val="clear" w:color="auto" w:fill="F9FAFB"/>
          </w:tcPr>
          <w:p w14:paraId="3F4F1304">
            <w:r>
              <w:t>Critical KPI for plant financial loss reduction.</w:t>
            </w:r>
          </w:p>
        </w:tc>
      </w:tr>
      <w:tr w14:paraId="25A06D63">
        <w:tblPrEx>
          <w:tblCellMar>
            <w:top w:w="0" w:type="dxa"/>
            <w:left w:w="108" w:type="dxa"/>
            <w:bottom w:w="0" w:type="dxa"/>
            <w:right w:w="108" w:type="dxa"/>
          </w:tblCellMar>
        </w:tblPrEx>
        <w:trPr>
          <w:jc w:val="center"/>
        </w:trPr>
        <w:tc>
          <w:tcPr>
            <w:tcW w:w="1872" w:type="dxa"/>
          </w:tcPr>
          <w:p w14:paraId="4D96CB34">
            <w:r>
              <w:t>Production Volume m3</w:t>
            </w:r>
          </w:p>
        </w:tc>
        <w:tc>
          <w:tcPr>
            <w:tcW w:w="1152" w:type="dxa"/>
          </w:tcPr>
          <w:p w14:paraId="1149FBE3">
            <w:r>
              <w:t>Decimal</w:t>
            </w:r>
          </w:p>
        </w:tc>
        <w:tc>
          <w:tcPr>
            <w:tcW w:w="4176" w:type="dxa"/>
          </w:tcPr>
          <w:p w14:paraId="0B3FB116">
            <w:r>
              <w:t>Physical space cubic volume occupied by the output.</w:t>
            </w:r>
          </w:p>
        </w:tc>
        <w:tc>
          <w:tcPr>
            <w:tcW w:w="2880" w:type="dxa"/>
          </w:tcPr>
          <w:p w14:paraId="252B4A60">
            <w:r>
              <w:t>Logistics and warehousing storage planning.</w:t>
            </w:r>
          </w:p>
        </w:tc>
      </w:tr>
      <w:tr w14:paraId="5AC972F7">
        <w:tblPrEx>
          <w:tblCellMar>
            <w:top w:w="0" w:type="dxa"/>
            <w:left w:w="108" w:type="dxa"/>
            <w:bottom w:w="0" w:type="dxa"/>
            <w:right w:w="108" w:type="dxa"/>
          </w:tblCellMar>
        </w:tblPrEx>
        <w:trPr>
          <w:jc w:val="center"/>
        </w:trPr>
        <w:tc>
          <w:tcPr>
            <w:tcW w:w="1872" w:type="dxa"/>
            <w:shd w:val="clear" w:color="auto" w:fill="F9FAFB"/>
          </w:tcPr>
          <w:p w14:paraId="3CFEC3CF">
            <w:r>
              <w:t>Scrap Rate</w:t>
            </w:r>
          </w:p>
        </w:tc>
        <w:tc>
          <w:tcPr>
            <w:tcW w:w="1152" w:type="dxa"/>
            <w:shd w:val="clear" w:color="auto" w:fill="F9FAFB"/>
          </w:tcPr>
          <w:p w14:paraId="7558014F">
            <w:r>
              <w:t>Decimal</w:t>
            </w:r>
          </w:p>
        </w:tc>
        <w:tc>
          <w:tcPr>
            <w:tcW w:w="4176" w:type="dxa"/>
            <w:shd w:val="clear" w:color="auto" w:fill="F9FAFB"/>
          </w:tcPr>
          <w:p w14:paraId="68DF4608">
            <w:r>
              <w:t>Ratio of wasted raw material discarded during setup.</w:t>
            </w:r>
          </w:p>
        </w:tc>
        <w:tc>
          <w:tcPr>
            <w:tcW w:w="2880" w:type="dxa"/>
            <w:shd w:val="clear" w:color="auto" w:fill="F9FAFB"/>
          </w:tcPr>
          <w:p w14:paraId="05F89372">
            <w:r>
              <w:t>Material efficiency and physical waste metrics.</w:t>
            </w:r>
          </w:p>
        </w:tc>
      </w:tr>
      <w:tr w14:paraId="3E6E0C38">
        <w:tblPrEx>
          <w:tblCellMar>
            <w:top w:w="0" w:type="dxa"/>
            <w:left w:w="108" w:type="dxa"/>
            <w:bottom w:w="0" w:type="dxa"/>
            <w:right w:w="108" w:type="dxa"/>
          </w:tblCellMar>
        </w:tblPrEx>
        <w:trPr>
          <w:jc w:val="center"/>
        </w:trPr>
        <w:tc>
          <w:tcPr>
            <w:tcW w:w="1872" w:type="dxa"/>
          </w:tcPr>
          <w:p w14:paraId="0084F75A">
            <w:r>
              <w:t>Rework Hours</w:t>
            </w:r>
          </w:p>
        </w:tc>
        <w:tc>
          <w:tcPr>
            <w:tcW w:w="1152" w:type="dxa"/>
          </w:tcPr>
          <w:p w14:paraId="081E937D">
            <w:r>
              <w:t>Decimal</w:t>
            </w:r>
          </w:p>
        </w:tc>
        <w:tc>
          <w:tcPr>
            <w:tcW w:w="4176" w:type="dxa"/>
          </w:tcPr>
          <w:p w14:paraId="69E2E4D9">
            <w:r>
              <w:t>Time spent correcting fixable defects.</w:t>
            </w:r>
          </w:p>
        </w:tc>
        <w:tc>
          <w:tcPr>
            <w:tcW w:w="2880" w:type="dxa"/>
          </w:tcPr>
          <w:p w14:paraId="2E8ABCAC">
            <w:r>
              <w:t>Hidden labor costs; must flag/impute null cells.</w:t>
            </w:r>
          </w:p>
        </w:tc>
      </w:tr>
      <w:tr w14:paraId="4A616930">
        <w:tblPrEx>
          <w:tblCellMar>
            <w:top w:w="0" w:type="dxa"/>
            <w:left w:w="108" w:type="dxa"/>
            <w:bottom w:w="0" w:type="dxa"/>
            <w:right w:w="108" w:type="dxa"/>
          </w:tblCellMar>
        </w:tblPrEx>
        <w:trPr>
          <w:jc w:val="center"/>
        </w:trPr>
        <w:tc>
          <w:tcPr>
            <w:tcW w:w="1872" w:type="dxa"/>
            <w:shd w:val="clear" w:color="auto" w:fill="F9FAFB"/>
          </w:tcPr>
          <w:p w14:paraId="3655CC51">
            <w:r>
              <w:t>Quality Checks Failed</w:t>
            </w:r>
          </w:p>
        </w:tc>
        <w:tc>
          <w:tcPr>
            <w:tcW w:w="1152" w:type="dxa"/>
            <w:shd w:val="clear" w:color="auto" w:fill="F9FAFB"/>
          </w:tcPr>
          <w:p w14:paraId="13412F8B">
            <w:r>
              <w:t>Integer</w:t>
            </w:r>
          </w:p>
        </w:tc>
        <w:tc>
          <w:tcPr>
            <w:tcW w:w="4176" w:type="dxa"/>
            <w:shd w:val="clear" w:color="auto" w:fill="F9FAFB"/>
          </w:tcPr>
          <w:p w14:paraId="4ACEC26F">
            <w:r>
              <w:t>Count of formal QA inspection gate rejections.</w:t>
            </w:r>
          </w:p>
        </w:tc>
        <w:tc>
          <w:tcPr>
            <w:tcW w:w="2880" w:type="dxa"/>
            <w:shd w:val="clear" w:color="auto" w:fill="F9FAFB"/>
          </w:tcPr>
          <w:p w14:paraId="41841879">
            <w:r>
              <w:t>Process stability and final quality gate compliance.</w:t>
            </w:r>
          </w:p>
        </w:tc>
      </w:tr>
      <w:tr w14:paraId="62645D4B">
        <w:tblPrEx>
          <w:tblCellMar>
            <w:top w:w="0" w:type="dxa"/>
            <w:left w:w="108" w:type="dxa"/>
            <w:bottom w:w="0" w:type="dxa"/>
            <w:right w:w="108" w:type="dxa"/>
          </w:tblCellMar>
        </w:tblPrEx>
        <w:trPr>
          <w:jc w:val="center"/>
        </w:trPr>
        <w:tc>
          <w:tcPr>
            <w:tcW w:w="1872" w:type="dxa"/>
          </w:tcPr>
          <w:p w14:paraId="1F7D75BF">
            <w:r>
              <w:t>Average Temperature C</w:t>
            </w:r>
          </w:p>
        </w:tc>
        <w:tc>
          <w:tcPr>
            <w:tcW w:w="1152" w:type="dxa"/>
          </w:tcPr>
          <w:p w14:paraId="51669665">
            <w:r>
              <w:t>Decimal</w:t>
            </w:r>
          </w:p>
        </w:tc>
        <w:tc>
          <w:tcPr>
            <w:tcW w:w="4176" w:type="dxa"/>
          </w:tcPr>
          <w:p w14:paraId="6045EB1F">
            <w:r>
              <w:t>Mean temperature recorded on the factory floor.</w:t>
            </w:r>
          </w:p>
        </w:tc>
        <w:tc>
          <w:tcPr>
            <w:tcW w:w="2880" w:type="dxa"/>
          </w:tcPr>
          <w:p w14:paraId="04D12D85">
            <w:r>
              <w:t>Climate tolerance checks for sensitive equipment.</w:t>
            </w:r>
          </w:p>
        </w:tc>
      </w:tr>
      <w:tr w14:paraId="3DBB0560">
        <w:tblPrEx>
          <w:tblCellMar>
            <w:top w:w="0" w:type="dxa"/>
            <w:left w:w="108" w:type="dxa"/>
            <w:bottom w:w="0" w:type="dxa"/>
            <w:right w:w="108" w:type="dxa"/>
          </w:tblCellMar>
        </w:tblPrEx>
        <w:trPr>
          <w:jc w:val="center"/>
        </w:trPr>
        <w:tc>
          <w:tcPr>
            <w:tcW w:w="1872" w:type="dxa"/>
            <w:shd w:val="clear" w:color="auto" w:fill="F9FAFB"/>
          </w:tcPr>
          <w:p w14:paraId="30CE0BA6">
            <w:r>
              <w:t>Average Humidity Percent</w:t>
            </w:r>
          </w:p>
        </w:tc>
        <w:tc>
          <w:tcPr>
            <w:tcW w:w="1152" w:type="dxa"/>
            <w:shd w:val="clear" w:color="auto" w:fill="F9FAFB"/>
          </w:tcPr>
          <w:p w14:paraId="3EF7FAAC">
            <w:r>
              <w:t>Decimal</w:t>
            </w:r>
          </w:p>
        </w:tc>
        <w:tc>
          <w:tcPr>
            <w:tcW w:w="4176" w:type="dxa"/>
            <w:shd w:val="clear" w:color="auto" w:fill="F9FAFB"/>
          </w:tcPr>
          <w:p w14:paraId="4885FB12">
            <w:r>
              <w:t>Mean relative humidity recorded on the floor.</w:t>
            </w:r>
          </w:p>
        </w:tc>
        <w:tc>
          <w:tcPr>
            <w:tcW w:w="2880" w:type="dxa"/>
            <w:shd w:val="clear" w:color="auto" w:fill="F9FAFB"/>
          </w:tcPr>
          <w:p w14:paraId="4035CBB8">
            <w:r>
              <w:t>Material humidity warping and adhesive tracking.</w:t>
            </w:r>
          </w:p>
        </w:tc>
      </w:tr>
    </w:tbl>
    <w:p w14:paraId="51B3E58A"/>
    <w:sectPr>
      <w:pgSz w:w="12240" w:h="15840"/>
      <w:pgMar w:top="82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3F600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33333"/>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1035</Words>
  <Characters>6347</Characters>
  <Lines>0</Lines>
  <Paragraphs>0</Paragraphs>
  <TotalTime>1</TotalTime>
  <ScaleCrop>false</ScaleCrop>
  <LinksUpToDate>false</LinksUpToDate>
  <CharactersWithSpaces>7256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Shubham Ghosh</cp:lastModifiedBy>
  <dcterms:modified xsi:type="dcterms:W3CDTF">2026-07-02T11:22:16Z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eyJoZGlkIjoiYzBhMjUzZjZiMDZkNDUwZGNkNjI4ZTU3MDkzOGNjMjQiLCJ1c2VySWQiOiI1NjczNjI1MTgyODcifQ==</vt:lpwstr>
  </property>
  <property fmtid="{D5CDD505-2E9C-101B-9397-08002B2CF9AE}" pid="3" name="KSOProductBuildVer">
    <vt:lpwstr>1033-12.1.0.26880</vt:lpwstr>
  </property>
  <property fmtid="{D5CDD505-2E9C-101B-9397-08002B2CF9AE}" pid="4" name="ICV">
    <vt:lpwstr>54486AE1E04C4AA5B169F5FF6C73F364_12</vt:lpwstr>
  </property>
</Properties>
</file>