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E21A7F">
      <w:pPr>
        <w:spacing w:after="80"/>
      </w:pPr>
      <w:r>
        <w:rPr>
          <w:b/>
          <w:bCs/>
          <w:sz w:val="40"/>
          <w:szCs w:val="40"/>
        </w:rPr>
        <w:t>Manufacturing Plant Operational Performance</w:t>
      </w:r>
    </w:p>
    <w:p w14:paraId="581F3015">
      <w:pPr>
        <w:spacing w:after="300"/>
        <w:rPr>
          <w:b/>
          <w:bCs/>
          <w:color w:val="555555"/>
          <w:sz w:val="30"/>
          <w:szCs w:val="30"/>
        </w:rPr>
      </w:pPr>
      <w:r>
        <w:rPr>
          <w:b/>
          <w:bCs/>
          <w:color w:val="555555"/>
          <w:sz w:val="30"/>
          <w:szCs w:val="30"/>
        </w:rPr>
        <w:t>Root Ca</w:t>
      </w:r>
      <w:r>
        <w:rPr>
          <w:b/>
          <w:bCs/>
          <w:color w:val="555555"/>
          <w:sz w:val="30"/>
          <w:szCs w:val="30"/>
          <w:lang w:val="en-US"/>
        </w:rPr>
        <w:t>me</w:t>
      </w:r>
      <w:r>
        <w:rPr>
          <w:b/>
          <w:bCs/>
          <w:color w:val="555555"/>
          <w:sz w:val="30"/>
          <w:szCs w:val="30"/>
        </w:rPr>
        <w:t>e Analysis &amp; Data Story</w:t>
      </w:r>
    </w:p>
    <w:p w14:paraId="0F8D4C40">
      <w:pPr>
        <w:spacing w:after="300"/>
      </w:pPr>
      <w:r>
        <w:rPr>
          <w:sz w:val="22"/>
          <w:szCs w:val="22"/>
        </w:rPr>
        <w:t>Data period: January 1, 2018 – March 21, 2026  |  Records analyzed: 3,000</w:t>
      </w:r>
    </w:p>
    <w:p w14:paraId="45FB0899">
      <w:pPr>
        <w:pBdr>
          <w:bottom w:val="single" w:color="999999" w:sz="6" w:space="1"/>
        </w:pBdr>
        <w:spacing w:after="240"/>
      </w:pPr>
      <w:r>
        <w:rPr>
          <w:sz w:val="21"/>
        </w:rPr>
        <mc:AlternateContent>
          <mc:Choice Requires="wps">
            <w:drawing>
              <wp:anchor distT="0" distB="0" distL="114300" distR="114300" simplePos="0" relativeHeight="251659264" behindDoc="0" locked="0" layoutInCell="1" allowOverlap="1">
                <wp:simplePos x="0" y="0"/>
                <wp:positionH relativeFrom="column">
                  <wp:posOffset>-46355</wp:posOffset>
                </wp:positionH>
                <wp:positionV relativeFrom="paragraph">
                  <wp:posOffset>108585</wp:posOffset>
                </wp:positionV>
                <wp:extent cx="6035675" cy="76200"/>
                <wp:effectExtent l="12700" t="12700" r="28575" b="25400"/>
                <wp:wrapNone/>
                <wp:docPr id="1" name="Rectangle 1"/>
                <wp:cNvGraphicFramePr/>
                <a:graphic xmlns:a="http://schemas.openxmlformats.org/drawingml/2006/main">
                  <a:graphicData uri="http://schemas.microsoft.com/office/word/2010/wordprocessingShape">
                    <wps:wsp>
                      <wps:cNvSpPr/>
                      <wps:spPr>
                        <a:xfrm flipV="1">
                          <a:off x="868045" y="2157730"/>
                          <a:ext cx="6035675" cy="76200"/>
                        </a:xfrm>
                        <a:prstGeom prst="rect">
                          <a:avLst/>
                        </a:prstGeom>
                        <a:solidFill>
                          <a:schemeClr val="tx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flip:y;margin-left:-3.65pt;margin-top:8.55pt;height:6pt;width:475.25pt;z-index:251659264;v-text-anchor:middle;mso-width-relative:page;mso-height-relative:page;" fillcolor="#000000 [3213]" filled="t" stroked="t" coordsize="21600,21600" o:gfxdata="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iV4fe9gAAAAIAQAADwAAAAAAAAABACAAAAAiAAAAZHJzL2Rvd25yZXYueG1sUEsBAhQAFAAA&#10;AAgAh07iQOY2xxFhAgAA9AQAAA4AAAAAAAAAAQAgAAAAJwEAAGRycy9lMm9Eb2MueG1sUEsFBgAA&#10;AAAGAAYAWQEAAPoFAAAAAA==&#10;">
                <v:fill on="t" focussize="0,0"/>
                <v:stroke weight="2pt" color="#000000 [3213]" joinstyle="round"/>
                <v:imagedata o:title=""/>
                <o:lock v:ext="edit" aspectratio="f"/>
              </v:rect>
            </w:pict>
          </mc:Fallback>
        </mc:AlternateContent>
      </w:r>
    </w:p>
    <w:p w14:paraId="21A06071">
      <w:pPr>
        <w:pStyle w:val="2"/>
        <w:spacing w:before="360" w:after="180"/>
      </w:pPr>
      <w:r>
        <w:t>1. Executive Summary</w:t>
      </w:r>
    </w:p>
    <w:p w14:paraId="35CDDA14">
      <w:pPr>
        <w:spacing w:after="160" w:line="300" w:lineRule="auto"/>
        <w:jc w:val="left"/>
      </w:pPr>
      <w:r>
        <w:t xml:space="preserve">This report tells the story of what is really happening on our plant floor. </w:t>
      </w:r>
      <w:r>
        <w:rPr>
          <w:rFonts w:hint="default"/>
          <w:lang w:val="en-US"/>
        </w:rPr>
        <w:t>I</w:t>
      </w:r>
      <w:r>
        <w:t xml:space="preserve"> re</w:t>
      </w:r>
      <w:r>
        <w:rPr>
          <w:rFonts w:hint="default"/>
          <w:lang w:val="en-US"/>
        </w:rPr>
        <w:t xml:space="preserve">ceived </w:t>
      </w:r>
      <w:r>
        <w:t xml:space="preserve"> 3,000 production records spanning eight years, covering 20 machines, three shifts, and five product lines, to an</w:t>
      </w:r>
      <w:r>
        <w:rPr>
          <w:rFonts w:hint="default"/>
          <w:lang w:val="en-US"/>
        </w:rPr>
        <w:t>swer</w:t>
      </w:r>
      <w:r>
        <w:t xml:space="preserve"> the questions raised in the B</w:t>
      </w:r>
      <w:r>
        <w:rPr>
          <w:rFonts w:hint="default"/>
          <w:lang w:val="en-US"/>
        </w:rPr>
        <w:t>usiness</w:t>
      </w:r>
      <w:r>
        <w:t xml:space="preserve"> Requirement Document: where are </w:t>
      </w:r>
      <w:r>
        <w:rPr>
          <w:lang w:val="en-US"/>
        </w:rPr>
        <w:t>I</w:t>
      </w:r>
      <w:r>
        <w:t xml:space="preserve"> losing time and money, and what should </w:t>
      </w:r>
      <w:r>
        <w:rPr>
          <w:lang w:val="en-US"/>
        </w:rPr>
        <w:t>I</w:t>
      </w:r>
      <w:r>
        <w:t xml:space="preserve"> do about it.</w:t>
      </w:r>
    </w:p>
    <w:p w14:paraId="22C87FB3">
      <w:pPr>
        <w:spacing w:after="160" w:line="300" w:lineRule="auto"/>
        <w:jc w:val="left"/>
      </w:pPr>
      <w:r>
        <w:t xml:space="preserve">The headline finding is a reassuring one, but it changes the nature of the problem. </w:t>
      </w:r>
      <w:r>
        <w:rPr>
          <w:lang w:val="en-US"/>
        </w:rPr>
        <w:t>I</w:t>
      </w:r>
      <w:r>
        <w:t xml:space="preserve"> tested every major lever </w:t>
      </w:r>
      <w:r>
        <w:rPr>
          <w:lang w:val="en-US"/>
        </w:rPr>
        <w:t>I</w:t>
      </w:r>
      <w:r>
        <w:t xml:space="preserve"> normally blame for plant losses </w:t>
      </w:r>
      <w:r>
        <w:rPr>
          <w:lang w:val="en-US"/>
        </w:rPr>
        <w:t>-</w:t>
      </w:r>
      <w:r>
        <w:t xml:space="preserve"> temperature and humidity, operator headcount, maintenance hours, shift timing, and product mix </w:t>
      </w:r>
      <w:r>
        <w:rPr>
          <w:lang w:val="en-US"/>
        </w:rPr>
        <w:t>-</w:t>
      </w:r>
      <w:r>
        <w:t xml:space="preserve"> and none of them meaningfully explains our downtime, defects, or scrap. </w:t>
      </w:r>
    </w:p>
    <w:p w14:paraId="6AD55555">
      <w:pPr>
        <w:spacing w:after="160" w:line="300" w:lineRule="auto"/>
      </w:pPr>
      <w:r>
        <w:rPr>
          <w:b/>
          <w:bCs/>
        </w:rPr>
        <w:t xml:space="preserve">What this means for the </w:t>
      </w:r>
      <w:r>
        <w:rPr>
          <w:rFonts w:hint="default"/>
          <w:b/>
          <w:bCs/>
          <w:lang w:val="en-US"/>
        </w:rPr>
        <w:t>busines</w:t>
      </w:r>
      <w:r>
        <w:rPr>
          <w:b/>
          <w:bCs/>
        </w:rPr>
        <w:t xml:space="preserve">s: </w:t>
      </w:r>
      <w:r>
        <w:rPr>
          <w:rFonts w:hint="default"/>
          <w:b w:val="0"/>
          <w:bCs w:val="0"/>
          <w:lang w:val="en-US"/>
        </w:rPr>
        <w:t>O</w:t>
      </w:r>
      <w:r>
        <w:t xml:space="preserve">ur losses are not concentrated in one shift, one machine type, or one environmental condition that </w:t>
      </w:r>
      <w:r>
        <w:rPr>
          <w:lang w:val="en-US"/>
        </w:rPr>
        <w:t>I</w:t>
      </w:r>
      <w:r>
        <w:t xml:space="preserve"> can simply fix with a policy change. They are spread evenly across the operation, which points to everyday process variation and asset  rather than a single root ca</w:t>
      </w:r>
      <w:r>
        <w:rPr>
          <w:rFonts w:hint="default"/>
          <w:lang w:val="en-US"/>
        </w:rPr>
        <w:t>use</w:t>
      </w:r>
      <w:r>
        <w:t xml:space="preserve">. The exception is a small group of machines that consistently underperform the rest of the fleet </w:t>
      </w:r>
      <w:r>
        <w:rPr>
          <w:lang w:val="en-US"/>
        </w:rPr>
        <w:t>-</w:t>
      </w:r>
      <w:r>
        <w:t xml:space="preserve"> this is where </w:t>
      </w:r>
      <w:r>
        <w:rPr>
          <w:lang w:val="en-US"/>
        </w:rPr>
        <w:t>I</w:t>
      </w:r>
      <w:r>
        <w:t xml:space="preserve"> recommend the plant foc</w:t>
      </w:r>
      <w:r>
        <w:rPr>
          <w:rFonts w:hint="default"/>
          <w:lang w:val="en-US"/>
        </w:rPr>
        <w:t>us</w:t>
      </w:r>
      <w:r>
        <w:t xml:space="preserve"> first.</w:t>
      </w:r>
    </w:p>
    <w:p w14:paraId="154A63CF">
      <w:pPr>
        <w:spacing w:after="160" w:line="300" w:lineRule="auto"/>
        <w:jc w:val="left"/>
      </w:pPr>
      <w:r>
        <w:t>Key numbers at a glance:</w:t>
      </w:r>
    </w:p>
    <w:p w14:paraId="77A28AA1">
      <w:pPr>
        <w:pStyle w:val="16"/>
        <w:numPr>
          <w:ilvl w:val="0"/>
          <w:numId w:val="1"/>
        </w:numPr>
        <w:spacing w:after="100" w:line="280" w:lineRule="auto"/>
      </w:pPr>
      <w:r>
        <w:t>375,113 total units produced across the review period</w:t>
      </w:r>
    </w:p>
    <w:p w14:paraId="503CD847">
      <w:pPr>
        <w:pStyle w:val="16"/>
        <w:numPr>
          <w:ilvl w:val="0"/>
          <w:numId w:val="1"/>
        </w:numPr>
        <w:spacing w:after="100" w:line="280" w:lineRule="auto"/>
      </w:pPr>
      <w:r>
        <w:t xml:space="preserve">13,655 total defects </w:t>
      </w:r>
      <w:r>
        <w:rPr>
          <w:lang w:val="en-US"/>
        </w:rPr>
        <w:t>-</w:t>
      </w:r>
      <w:r>
        <w:t xml:space="preserve"> an overall defect rate of 3.64% of units produced</w:t>
      </w:r>
    </w:p>
    <w:p w14:paraId="2F373637">
      <w:pPr>
        <w:pStyle w:val="16"/>
        <w:numPr>
          <w:ilvl w:val="0"/>
          <w:numId w:val="1"/>
        </w:numPr>
        <w:spacing w:after="100" w:line="280" w:lineRule="auto"/>
      </w:pPr>
      <w:r>
        <w:t>4,613 hours of unplanned downtime against 37,733 hours of active production time (12.2% of running time)</w:t>
      </w:r>
    </w:p>
    <w:p w14:paraId="07443F58">
      <w:pPr>
        <w:pStyle w:val="16"/>
        <w:numPr>
          <w:ilvl w:val="0"/>
          <w:numId w:val="1"/>
        </w:numPr>
        <w:spacing w:after="100" w:line="280" w:lineRule="auto"/>
      </w:pPr>
      <w:r>
        <w:t>7,522 hours spent on maintenance, with no measurable reduction in downtime as maintenance hours rise</w:t>
      </w:r>
    </w:p>
    <w:p w14:paraId="6E44FAA4">
      <w:pPr>
        <w:pStyle w:val="16"/>
        <w:numPr>
          <w:ilvl w:val="0"/>
          <w:numId w:val="1"/>
        </w:numPr>
        <w:spacing w:after="100" w:line="280" w:lineRule="auto"/>
      </w:pPr>
      <w:r>
        <w:t>Machines 18,</w:t>
      </w:r>
      <w:r>
        <w:rPr>
          <w:rFonts w:hint="default"/>
          <w:lang w:val="en-US"/>
        </w:rPr>
        <w:t>19,</w:t>
      </w:r>
      <w:r>
        <w:t xml:space="preserve"> 9, </w:t>
      </w:r>
      <w:r>
        <w:rPr>
          <w:rFonts w:hint="default"/>
          <w:lang w:val="en-US"/>
        </w:rPr>
        <w:t>1</w:t>
      </w:r>
      <w:r>
        <w:t>6 and 1</w:t>
      </w:r>
      <w:r>
        <w:rPr>
          <w:rFonts w:hint="default"/>
          <w:lang w:val="en-US"/>
        </w:rPr>
        <w:t>5</w:t>
      </w:r>
      <w:r>
        <w:t xml:space="preserve"> stand out as the highest-risk assets and are the priority for engineering inspection</w:t>
      </w:r>
    </w:p>
    <w:p w14:paraId="17AA56A0">
      <w:pPr>
        <w:pStyle w:val="2"/>
        <w:spacing w:before="360" w:after="180"/>
      </w:pPr>
      <w:r>
        <w:t>2. About the Data</w:t>
      </w:r>
    </w:p>
    <w:p w14:paraId="4E877245">
      <w:pPr>
        <w:spacing w:after="160" w:line="300" w:lineRule="auto"/>
        <w:jc w:val="left"/>
      </w:pPr>
      <w:r>
        <w:t>The data</w:t>
      </w:r>
      <w:r>
        <w:rPr>
          <w:rFonts w:hint="default"/>
          <w:lang w:val="en-US"/>
        </w:rPr>
        <w:t xml:space="preserve"> </w:t>
      </w:r>
      <w:r>
        <w:t xml:space="preserve">set is the plant's operational log: one row per production batch, capturing the machine, shift, and product type involved, along with output, quality, cost, environmental, and downtime figures for that batch. The data is complete </w:t>
      </w:r>
      <w:r>
        <w:rPr>
          <w:lang w:val="en-US"/>
        </w:rPr>
        <w:t>-</w:t>
      </w:r>
      <w:r>
        <w:t xml:space="preserve"> there are no missing values in any of the fields </w:t>
      </w:r>
      <w:r>
        <w:rPr>
          <w:lang w:val="en-US"/>
        </w:rPr>
        <w:t>me</w:t>
      </w:r>
      <w:r>
        <w:t xml:space="preserve">ed in this analysis </w:t>
      </w:r>
      <w:r>
        <w:rPr>
          <w:lang w:val="en-US"/>
        </w:rPr>
        <w:t>-</w:t>
      </w:r>
      <w:r>
        <w:t xml:space="preserve"> so every figure below is drawn from the full 3,000-record set rather than an estimate.</w:t>
      </w:r>
    </w:p>
    <w:p w14:paraId="2D476DC6">
      <w:pPr>
        <w:spacing w:after="160" w:line="300" w:lineRule="auto"/>
        <w:jc w:val="left"/>
      </w:pPr>
      <w:r>
        <w:t>Coverage: 20 machines, 3 shifts (Day, Swing, Night), and 5 product types (Automotive, Electronics, Textiles, Appliances, Furniture), recorded from January 2018 through March 2026.</w:t>
      </w:r>
    </w:p>
    <w:p w14:paraId="55CFD05F">
      <w:pPr>
        <w:pStyle w:val="2"/>
        <w:spacing w:before="360" w:after="180"/>
      </w:pPr>
      <w:r>
        <w:t xml:space="preserve">3. Asset Reliability </w:t>
      </w:r>
      <w:r>
        <w:rPr>
          <w:lang w:val="en-US"/>
        </w:rPr>
        <w:t>-</w:t>
      </w:r>
      <w:r>
        <w:t xml:space="preserve"> Which Machines Are Failing </w:t>
      </w:r>
      <w:r>
        <w:rPr>
          <w:lang w:val="en-US"/>
        </w:rPr>
        <w:t>me</w:t>
      </w:r>
      <w:r>
        <w:t>?</w:t>
      </w:r>
    </w:p>
    <w:p w14:paraId="3EE0DFB6">
      <w:pPr>
        <w:spacing w:after="160" w:line="300" w:lineRule="auto"/>
        <w:jc w:val="left"/>
      </w:pPr>
      <w:r>
        <w:t>The B</w:t>
      </w:r>
      <w:r>
        <w:rPr>
          <w:rFonts w:hint="default"/>
          <w:lang w:val="en-US"/>
        </w:rPr>
        <w:t>usiness</w:t>
      </w:r>
      <w:r>
        <w:t xml:space="preserve"> Requirement Document asked </w:t>
      </w:r>
      <w:r>
        <w:rPr>
          <w:lang w:val="en-US"/>
        </w:rPr>
        <w:t>me</w:t>
      </w:r>
      <w:r>
        <w:t xml:space="preserve"> to identify which machines accumulate the highest downtime relative to their running time, and whether pouring more maintenance hours into a machine actually reduces breakdowns.</w:t>
      </w:r>
    </w:p>
    <w:p w14:paraId="3A5326C6">
      <w:pPr>
        <w:pStyle w:val="3"/>
        <w:spacing w:before="280" w:after="140"/>
      </w:pPr>
      <w:r>
        <w:t>3.1 Downtime-to-production ratio by machine</w:t>
      </w:r>
    </w:p>
    <w:p w14:paraId="029F5D23">
      <w:pPr>
        <w:spacing w:after="160" w:line="300" w:lineRule="auto"/>
        <w:jc w:val="left"/>
      </w:pPr>
      <w:r>
        <w:t>Across the full fleet, machines lose an average of 12.2% of their production time to unplanned downtime. That average hides real spread: the five machines run noticeably worse than the rest of the fleet, each losing bet</w:t>
      </w:r>
      <w:r>
        <w:rPr>
          <w:rFonts w:hint="default"/>
          <w:lang w:val="en-US"/>
        </w:rPr>
        <w:t>ween</w:t>
      </w:r>
      <w:r>
        <w:t xml:space="preserve"> 13.0% and 14.0% of their production hours to downtime, compared with the fleet average of 12.2%.</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63"/>
        <w:gridCol w:w="2047"/>
        <w:gridCol w:w="2047"/>
        <w:gridCol w:w="2340"/>
        <w:gridCol w:w="1463"/>
      </w:tblGrid>
      <w:tr w14:paraId="7FC28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63" w:type="dxa"/>
            <w:shd w:val="clear" w:color="auto" w:fill="E5E5E5"/>
            <w:tcMar>
              <w:top w:w="80" w:type="dxa"/>
              <w:left w:w="100" w:type="dxa"/>
              <w:bottom w:w="80" w:type="dxa"/>
              <w:right w:w="100" w:type="dxa"/>
            </w:tcMar>
          </w:tcPr>
          <w:p w14:paraId="05EDB778">
            <w:r>
              <w:rPr>
                <w:b/>
                <w:bCs/>
                <w:sz w:val="20"/>
                <w:szCs w:val="20"/>
              </w:rPr>
              <w:t>Machine ID</w:t>
            </w:r>
          </w:p>
        </w:tc>
        <w:tc>
          <w:tcPr>
            <w:tcW w:w="2047" w:type="dxa"/>
            <w:shd w:val="clear" w:color="auto" w:fill="E5E5E5"/>
            <w:tcMar>
              <w:top w:w="80" w:type="dxa"/>
              <w:left w:w="100" w:type="dxa"/>
              <w:bottom w:w="80" w:type="dxa"/>
              <w:right w:w="100" w:type="dxa"/>
            </w:tcMar>
          </w:tcPr>
          <w:p w14:paraId="2EB51425">
            <w:r>
              <w:rPr>
                <w:b/>
                <w:bCs/>
                <w:sz w:val="20"/>
                <w:szCs w:val="20"/>
              </w:rPr>
              <w:t>Downtime Hours</w:t>
            </w:r>
          </w:p>
        </w:tc>
        <w:tc>
          <w:tcPr>
            <w:tcW w:w="2047" w:type="dxa"/>
            <w:shd w:val="clear" w:color="auto" w:fill="E5E5E5"/>
            <w:tcMar>
              <w:top w:w="80" w:type="dxa"/>
              <w:left w:w="100" w:type="dxa"/>
              <w:bottom w:w="80" w:type="dxa"/>
              <w:right w:w="100" w:type="dxa"/>
            </w:tcMar>
          </w:tcPr>
          <w:p w14:paraId="0F757726">
            <w:r>
              <w:rPr>
                <w:b/>
                <w:bCs/>
                <w:sz w:val="20"/>
                <w:szCs w:val="20"/>
              </w:rPr>
              <w:t>Production Hours</w:t>
            </w:r>
          </w:p>
        </w:tc>
        <w:tc>
          <w:tcPr>
            <w:tcW w:w="2340" w:type="dxa"/>
            <w:shd w:val="clear" w:color="auto" w:fill="E5E5E5"/>
            <w:tcMar>
              <w:top w:w="80" w:type="dxa"/>
              <w:left w:w="100" w:type="dxa"/>
              <w:bottom w:w="80" w:type="dxa"/>
              <w:right w:w="100" w:type="dxa"/>
            </w:tcMar>
          </w:tcPr>
          <w:p w14:paraId="3EF6A17C">
            <w:r>
              <w:rPr>
                <w:b/>
                <w:bCs/>
                <w:sz w:val="20"/>
                <w:szCs w:val="20"/>
              </w:rPr>
              <w:t>Downtime / Production Ratio</w:t>
            </w:r>
          </w:p>
        </w:tc>
        <w:tc>
          <w:tcPr>
            <w:tcW w:w="1463" w:type="dxa"/>
            <w:shd w:val="clear" w:color="auto" w:fill="E5E5E5"/>
            <w:tcMar>
              <w:top w:w="80" w:type="dxa"/>
              <w:left w:w="100" w:type="dxa"/>
              <w:bottom w:w="80" w:type="dxa"/>
              <w:right w:w="100" w:type="dxa"/>
            </w:tcMar>
          </w:tcPr>
          <w:p w14:paraId="6DDBDB9B">
            <w:r>
              <w:rPr>
                <w:b/>
                <w:bCs/>
                <w:sz w:val="20"/>
                <w:szCs w:val="20"/>
              </w:rPr>
              <w:t>Total Defects</w:t>
            </w:r>
          </w:p>
        </w:tc>
      </w:tr>
      <w:tr w14:paraId="7E2D9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63" w:type="dxa"/>
            <w:tcMar>
              <w:top w:w="60" w:type="dxa"/>
              <w:left w:w="100" w:type="dxa"/>
              <w:bottom w:w="60" w:type="dxa"/>
              <w:right w:w="100" w:type="dxa"/>
            </w:tcMar>
          </w:tcPr>
          <w:p w14:paraId="753DCE2D">
            <w:r>
              <w:rPr>
                <w:sz w:val="20"/>
                <w:szCs w:val="20"/>
              </w:rPr>
              <w:t>6</w:t>
            </w:r>
          </w:p>
        </w:tc>
        <w:tc>
          <w:tcPr>
            <w:tcW w:w="2047" w:type="dxa"/>
            <w:tcMar>
              <w:top w:w="60" w:type="dxa"/>
              <w:left w:w="100" w:type="dxa"/>
              <w:bottom w:w="60" w:type="dxa"/>
              <w:right w:w="100" w:type="dxa"/>
            </w:tcMar>
          </w:tcPr>
          <w:p w14:paraId="7FB4BC9B">
            <w:r>
              <w:rPr>
                <w:sz w:val="20"/>
                <w:szCs w:val="20"/>
              </w:rPr>
              <w:t>216.5</w:t>
            </w:r>
          </w:p>
        </w:tc>
        <w:tc>
          <w:tcPr>
            <w:tcW w:w="2047" w:type="dxa"/>
            <w:tcMar>
              <w:top w:w="60" w:type="dxa"/>
              <w:left w:w="100" w:type="dxa"/>
              <w:bottom w:w="60" w:type="dxa"/>
              <w:right w:w="100" w:type="dxa"/>
            </w:tcMar>
          </w:tcPr>
          <w:p w14:paraId="69D9CCEE">
            <w:r>
              <w:rPr>
                <w:sz w:val="20"/>
                <w:szCs w:val="20"/>
              </w:rPr>
              <w:t>1,546.8</w:t>
            </w:r>
          </w:p>
        </w:tc>
        <w:tc>
          <w:tcPr>
            <w:tcW w:w="2340" w:type="dxa"/>
            <w:tcMar>
              <w:top w:w="60" w:type="dxa"/>
              <w:left w:w="100" w:type="dxa"/>
              <w:bottom w:w="60" w:type="dxa"/>
              <w:right w:w="100" w:type="dxa"/>
            </w:tcMar>
          </w:tcPr>
          <w:p w14:paraId="5A38BEED">
            <w:r>
              <w:rPr>
                <w:sz w:val="20"/>
                <w:szCs w:val="20"/>
              </w:rPr>
              <w:t>14.0%</w:t>
            </w:r>
          </w:p>
        </w:tc>
        <w:tc>
          <w:tcPr>
            <w:tcW w:w="1463" w:type="dxa"/>
            <w:tcMar>
              <w:top w:w="60" w:type="dxa"/>
              <w:left w:w="100" w:type="dxa"/>
              <w:bottom w:w="60" w:type="dxa"/>
              <w:right w:w="100" w:type="dxa"/>
            </w:tcMar>
          </w:tcPr>
          <w:p w14:paraId="662C2044">
            <w:r>
              <w:rPr>
                <w:sz w:val="20"/>
                <w:szCs w:val="20"/>
              </w:rPr>
              <w:t>596</w:t>
            </w:r>
          </w:p>
        </w:tc>
      </w:tr>
      <w:tr w14:paraId="700A9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63" w:type="dxa"/>
            <w:tcMar>
              <w:top w:w="60" w:type="dxa"/>
              <w:left w:w="100" w:type="dxa"/>
              <w:bottom w:w="60" w:type="dxa"/>
              <w:right w:w="100" w:type="dxa"/>
            </w:tcMar>
          </w:tcPr>
          <w:p w14:paraId="59E271C4">
            <w:r>
              <w:rPr>
                <w:sz w:val="20"/>
                <w:szCs w:val="20"/>
              </w:rPr>
              <w:t>11</w:t>
            </w:r>
          </w:p>
        </w:tc>
        <w:tc>
          <w:tcPr>
            <w:tcW w:w="2047" w:type="dxa"/>
            <w:tcMar>
              <w:top w:w="60" w:type="dxa"/>
              <w:left w:w="100" w:type="dxa"/>
              <w:bottom w:w="60" w:type="dxa"/>
              <w:right w:w="100" w:type="dxa"/>
            </w:tcMar>
          </w:tcPr>
          <w:p w14:paraId="059C7047">
            <w:r>
              <w:rPr>
                <w:sz w:val="20"/>
                <w:szCs w:val="20"/>
              </w:rPr>
              <w:t>265.3</w:t>
            </w:r>
          </w:p>
        </w:tc>
        <w:tc>
          <w:tcPr>
            <w:tcW w:w="2047" w:type="dxa"/>
            <w:tcMar>
              <w:top w:w="60" w:type="dxa"/>
              <w:left w:w="100" w:type="dxa"/>
              <w:bottom w:w="60" w:type="dxa"/>
              <w:right w:w="100" w:type="dxa"/>
            </w:tcMar>
          </w:tcPr>
          <w:p w14:paraId="5ADCD7A4">
            <w:r>
              <w:rPr>
                <w:sz w:val="20"/>
                <w:szCs w:val="20"/>
              </w:rPr>
              <w:t>1,962.8</w:t>
            </w:r>
          </w:p>
        </w:tc>
        <w:tc>
          <w:tcPr>
            <w:tcW w:w="2340" w:type="dxa"/>
            <w:tcMar>
              <w:top w:w="60" w:type="dxa"/>
              <w:left w:w="100" w:type="dxa"/>
              <w:bottom w:w="60" w:type="dxa"/>
              <w:right w:w="100" w:type="dxa"/>
            </w:tcMar>
          </w:tcPr>
          <w:p w14:paraId="4A9C6303">
            <w:r>
              <w:rPr>
                <w:sz w:val="20"/>
                <w:szCs w:val="20"/>
              </w:rPr>
              <w:t>13.5%</w:t>
            </w:r>
          </w:p>
        </w:tc>
        <w:tc>
          <w:tcPr>
            <w:tcW w:w="1463" w:type="dxa"/>
            <w:tcMar>
              <w:top w:w="60" w:type="dxa"/>
              <w:left w:w="100" w:type="dxa"/>
              <w:bottom w:w="60" w:type="dxa"/>
              <w:right w:w="100" w:type="dxa"/>
            </w:tcMar>
          </w:tcPr>
          <w:p w14:paraId="42B5A741">
            <w:r>
              <w:rPr>
                <w:sz w:val="20"/>
                <w:szCs w:val="20"/>
              </w:rPr>
              <w:t>717</w:t>
            </w:r>
          </w:p>
        </w:tc>
      </w:tr>
      <w:tr w14:paraId="228F4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63" w:type="dxa"/>
            <w:tcMar>
              <w:top w:w="60" w:type="dxa"/>
              <w:left w:w="100" w:type="dxa"/>
              <w:bottom w:w="60" w:type="dxa"/>
              <w:right w:w="100" w:type="dxa"/>
            </w:tcMar>
          </w:tcPr>
          <w:p w14:paraId="552A68E4">
            <w:r>
              <w:rPr>
                <w:sz w:val="20"/>
                <w:szCs w:val="20"/>
              </w:rPr>
              <w:t>9</w:t>
            </w:r>
          </w:p>
        </w:tc>
        <w:tc>
          <w:tcPr>
            <w:tcW w:w="2047" w:type="dxa"/>
            <w:tcMar>
              <w:top w:w="60" w:type="dxa"/>
              <w:left w:w="100" w:type="dxa"/>
              <w:bottom w:w="60" w:type="dxa"/>
              <w:right w:w="100" w:type="dxa"/>
            </w:tcMar>
          </w:tcPr>
          <w:p w14:paraId="3A32D97B">
            <w:r>
              <w:rPr>
                <w:sz w:val="20"/>
                <w:szCs w:val="20"/>
              </w:rPr>
              <w:t>207.3</w:t>
            </w:r>
          </w:p>
        </w:tc>
        <w:tc>
          <w:tcPr>
            <w:tcW w:w="2047" w:type="dxa"/>
            <w:tcMar>
              <w:top w:w="60" w:type="dxa"/>
              <w:left w:w="100" w:type="dxa"/>
              <w:bottom w:w="60" w:type="dxa"/>
              <w:right w:w="100" w:type="dxa"/>
            </w:tcMar>
          </w:tcPr>
          <w:p w14:paraId="7E327173">
            <w:r>
              <w:rPr>
                <w:sz w:val="20"/>
                <w:szCs w:val="20"/>
              </w:rPr>
              <w:t>1,551.0</w:t>
            </w:r>
          </w:p>
        </w:tc>
        <w:tc>
          <w:tcPr>
            <w:tcW w:w="2340" w:type="dxa"/>
            <w:tcMar>
              <w:top w:w="60" w:type="dxa"/>
              <w:left w:w="100" w:type="dxa"/>
              <w:bottom w:w="60" w:type="dxa"/>
              <w:right w:w="100" w:type="dxa"/>
            </w:tcMar>
          </w:tcPr>
          <w:p w14:paraId="678F6EF2">
            <w:r>
              <w:rPr>
                <w:sz w:val="20"/>
                <w:szCs w:val="20"/>
              </w:rPr>
              <w:t>13.4%</w:t>
            </w:r>
          </w:p>
        </w:tc>
        <w:tc>
          <w:tcPr>
            <w:tcW w:w="1463" w:type="dxa"/>
            <w:tcMar>
              <w:top w:w="60" w:type="dxa"/>
              <w:left w:w="100" w:type="dxa"/>
              <w:bottom w:w="60" w:type="dxa"/>
              <w:right w:w="100" w:type="dxa"/>
            </w:tcMar>
          </w:tcPr>
          <w:p w14:paraId="6A9150B6">
            <w:r>
              <w:rPr>
                <w:sz w:val="20"/>
                <w:szCs w:val="20"/>
              </w:rPr>
              <w:t>632</w:t>
            </w:r>
          </w:p>
        </w:tc>
      </w:tr>
      <w:tr w14:paraId="5EDE8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63" w:type="dxa"/>
            <w:tcMar>
              <w:top w:w="60" w:type="dxa"/>
              <w:left w:w="100" w:type="dxa"/>
              <w:bottom w:w="60" w:type="dxa"/>
              <w:right w:w="100" w:type="dxa"/>
            </w:tcMar>
          </w:tcPr>
          <w:p w14:paraId="719173B9">
            <w:r>
              <w:rPr>
                <w:sz w:val="20"/>
                <w:szCs w:val="20"/>
              </w:rPr>
              <w:t>7</w:t>
            </w:r>
          </w:p>
        </w:tc>
        <w:tc>
          <w:tcPr>
            <w:tcW w:w="2047" w:type="dxa"/>
            <w:tcMar>
              <w:top w:w="60" w:type="dxa"/>
              <w:left w:w="100" w:type="dxa"/>
              <w:bottom w:w="60" w:type="dxa"/>
              <w:right w:w="100" w:type="dxa"/>
            </w:tcMar>
          </w:tcPr>
          <w:p w14:paraId="2980FCFD">
            <w:r>
              <w:rPr>
                <w:sz w:val="20"/>
                <w:szCs w:val="20"/>
              </w:rPr>
              <w:t>263.9</w:t>
            </w:r>
          </w:p>
        </w:tc>
        <w:tc>
          <w:tcPr>
            <w:tcW w:w="2047" w:type="dxa"/>
            <w:tcMar>
              <w:top w:w="60" w:type="dxa"/>
              <w:left w:w="100" w:type="dxa"/>
              <w:bottom w:w="60" w:type="dxa"/>
              <w:right w:w="100" w:type="dxa"/>
            </w:tcMar>
          </w:tcPr>
          <w:p w14:paraId="4D00C6C5">
            <w:r>
              <w:rPr>
                <w:sz w:val="20"/>
                <w:szCs w:val="20"/>
              </w:rPr>
              <w:t>2,022.3</w:t>
            </w:r>
          </w:p>
        </w:tc>
        <w:tc>
          <w:tcPr>
            <w:tcW w:w="2340" w:type="dxa"/>
            <w:tcMar>
              <w:top w:w="60" w:type="dxa"/>
              <w:left w:w="100" w:type="dxa"/>
              <w:bottom w:w="60" w:type="dxa"/>
              <w:right w:w="100" w:type="dxa"/>
            </w:tcMar>
          </w:tcPr>
          <w:p w14:paraId="17976263">
            <w:r>
              <w:rPr>
                <w:sz w:val="20"/>
                <w:szCs w:val="20"/>
              </w:rPr>
              <w:t>13.0%</w:t>
            </w:r>
          </w:p>
        </w:tc>
        <w:tc>
          <w:tcPr>
            <w:tcW w:w="1463" w:type="dxa"/>
            <w:tcMar>
              <w:top w:w="60" w:type="dxa"/>
              <w:left w:w="100" w:type="dxa"/>
              <w:bottom w:w="60" w:type="dxa"/>
              <w:right w:w="100" w:type="dxa"/>
            </w:tcMar>
          </w:tcPr>
          <w:p w14:paraId="5E74BE2E">
            <w:r>
              <w:rPr>
                <w:sz w:val="20"/>
                <w:szCs w:val="20"/>
              </w:rPr>
              <w:t>714</w:t>
            </w:r>
          </w:p>
        </w:tc>
      </w:tr>
      <w:tr w14:paraId="2D454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63" w:type="dxa"/>
            <w:tcMar>
              <w:top w:w="60" w:type="dxa"/>
              <w:left w:w="100" w:type="dxa"/>
              <w:bottom w:w="60" w:type="dxa"/>
              <w:right w:w="100" w:type="dxa"/>
            </w:tcMar>
          </w:tcPr>
          <w:p w14:paraId="15DDBC32">
            <w:r>
              <w:rPr>
                <w:sz w:val="20"/>
                <w:szCs w:val="20"/>
              </w:rPr>
              <w:t>12</w:t>
            </w:r>
          </w:p>
        </w:tc>
        <w:tc>
          <w:tcPr>
            <w:tcW w:w="2047" w:type="dxa"/>
            <w:tcMar>
              <w:top w:w="60" w:type="dxa"/>
              <w:left w:w="100" w:type="dxa"/>
              <w:bottom w:w="60" w:type="dxa"/>
              <w:right w:w="100" w:type="dxa"/>
            </w:tcMar>
          </w:tcPr>
          <w:p w14:paraId="7F594F17">
            <w:r>
              <w:rPr>
                <w:sz w:val="20"/>
                <w:szCs w:val="20"/>
              </w:rPr>
              <w:t>212.3</w:t>
            </w:r>
          </w:p>
        </w:tc>
        <w:tc>
          <w:tcPr>
            <w:tcW w:w="2047" w:type="dxa"/>
            <w:tcMar>
              <w:top w:w="60" w:type="dxa"/>
              <w:left w:w="100" w:type="dxa"/>
              <w:bottom w:w="60" w:type="dxa"/>
              <w:right w:w="100" w:type="dxa"/>
            </w:tcMar>
          </w:tcPr>
          <w:p w14:paraId="71965FA4">
            <w:r>
              <w:rPr>
                <w:sz w:val="20"/>
                <w:szCs w:val="20"/>
              </w:rPr>
              <w:t>1,632.6</w:t>
            </w:r>
          </w:p>
        </w:tc>
        <w:tc>
          <w:tcPr>
            <w:tcW w:w="2340" w:type="dxa"/>
            <w:tcMar>
              <w:top w:w="60" w:type="dxa"/>
              <w:left w:w="100" w:type="dxa"/>
              <w:bottom w:w="60" w:type="dxa"/>
              <w:right w:w="100" w:type="dxa"/>
            </w:tcMar>
          </w:tcPr>
          <w:p w14:paraId="691F8743">
            <w:r>
              <w:rPr>
                <w:sz w:val="20"/>
                <w:szCs w:val="20"/>
              </w:rPr>
              <w:t>13.0%</w:t>
            </w:r>
          </w:p>
        </w:tc>
        <w:tc>
          <w:tcPr>
            <w:tcW w:w="1463" w:type="dxa"/>
            <w:tcMar>
              <w:top w:w="60" w:type="dxa"/>
              <w:left w:w="100" w:type="dxa"/>
              <w:bottom w:w="60" w:type="dxa"/>
              <w:right w:w="100" w:type="dxa"/>
            </w:tcMar>
          </w:tcPr>
          <w:p w14:paraId="19746C71">
            <w:r>
              <w:rPr>
                <w:sz w:val="20"/>
                <w:szCs w:val="20"/>
              </w:rPr>
              <w:t>593</w:t>
            </w:r>
          </w:p>
        </w:tc>
      </w:tr>
    </w:tbl>
    <w:p w14:paraId="0FE95033">
      <w:pPr>
        <w:spacing w:before="60" w:after="240"/>
      </w:pPr>
      <w:r>
        <w:rPr>
          <w:i/>
          <w:iCs/>
          <w:sz w:val="20"/>
          <w:szCs w:val="20"/>
        </w:rPr>
        <w:t>Table 1: The five machines with the highest downtime-to-production ratio, against a fleet average of 12.2%.</w:t>
      </w:r>
    </w:p>
    <w:p w14:paraId="3FA4E839">
      <w:pPr>
        <w:pStyle w:val="3"/>
        <w:spacing w:before="280" w:after="140"/>
      </w:pPr>
      <w:r>
        <w:t>3.2 Does more maintenance mean less downtime?</w:t>
      </w:r>
    </w:p>
    <w:p w14:paraId="3A3890B3">
      <w:pPr>
        <w:spacing w:after="160" w:line="300" w:lineRule="auto"/>
        <w:jc w:val="left"/>
      </w:pPr>
      <w:r>
        <w:t>Not in this data. The correlation bet</w:t>
      </w:r>
      <w:r>
        <w:rPr>
          <w:rFonts w:hint="default"/>
          <w:lang w:val="en-US"/>
        </w:rPr>
        <w:t>ween</w:t>
      </w:r>
      <w:r>
        <w:t xml:space="preserve"> Maintenance Hours and Down Time Hours is effectively zero (</w:t>
      </w:r>
      <w:r>
        <w:rPr>
          <w:rFonts w:hint="default"/>
          <w:lang w:val="en-US"/>
        </w:rPr>
        <w:t>-</w:t>
      </w:r>
      <w:r>
        <w:t xml:space="preserve">0.004), and when </w:t>
      </w:r>
      <w:r>
        <w:rPr>
          <w:lang w:val="en-US"/>
        </w:rPr>
        <w:t>I</w:t>
      </w:r>
      <w:r>
        <w:t xml:space="preserve"> group batches by how many maintenance hours they received, average downtime stays flat at roughly 1.5 hours regardless of whether a machine received 1 hour or 5 hours of maintenance.</w:t>
      </w:r>
    </w:p>
    <w:p w14:paraId="5298F0E3">
      <w:pPr>
        <w:spacing w:after="160" w:line="300" w:lineRule="auto"/>
      </w:pPr>
      <w:r>
        <w:rPr>
          <w:b/>
          <w:bCs/>
        </w:rPr>
        <w:t xml:space="preserve">The story here: </w:t>
      </w:r>
      <w:r>
        <w:t xml:space="preserve">maintenance activity, as currently scheduled, is not preventing breakdowns. This does not mean maintenance is worthless </w:t>
      </w:r>
      <w:r>
        <w:rPr>
          <w:rFonts w:hint="default"/>
          <w:lang w:val="en-US"/>
        </w:rPr>
        <w:t>-</w:t>
      </w:r>
      <w:r>
        <w:t xml:space="preserve"> it likely means it is being applied on a fixed calendar rather than in response to the actual condition of each machine, so the hours spent are not landing on the assets that need them most.</w:t>
      </w:r>
    </w:p>
    <w:p w14:paraId="1E3BFA6B">
      <w:pPr>
        <w:pStyle w:val="2"/>
        <w:spacing w:before="360" w:after="180"/>
      </w:pPr>
      <w:r>
        <w:t xml:space="preserve">4. Quality &amp; Scrap </w:t>
      </w:r>
      <w:r>
        <w:rPr>
          <w:lang w:val="en-US"/>
        </w:rPr>
        <w:t>-</w:t>
      </w:r>
      <w:r>
        <w:t xml:space="preserve"> Where Are Defects Really Coming From?</w:t>
      </w:r>
    </w:p>
    <w:p w14:paraId="7B70025F">
      <w:pPr>
        <w:spacing w:after="160" w:line="300" w:lineRule="auto"/>
        <w:jc w:val="left"/>
      </w:pPr>
      <w:r>
        <w:t xml:space="preserve">The BRD asked </w:t>
      </w:r>
      <w:r>
        <w:rPr>
          <w:lang w:val="en-US"/>
        </w:rPr>
        <w:t>me</w:t>
      </w:r>
      <w:r>
        <w:t xml:space="preserve"> to isolate which product types drive the most defects and failed quality checks, whether scrap is tied to specific operators, machines, or product lines, and whether rework hours are linked to paying premium labour rates.</w:t>
      </w:r>
    </w:p>
    <w:p w14:paraId="1D3F282D">
      <w:pPr>
        <w:pStyle w:val="3"/>
        <w:spacing w:before="280" w:after="140"/>
      </w:pPr>
      <w:r>
        <w:t>4.1 Defects and quality-check failures by product type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12"/>
        <w:gridCol w:w="1702"/>
        <w:gridCol w:w="1872"/>
        <w:gridCol w:w="1872"/>
        <w:gridCol w:w="1702"/>
      </w:tblGrid>
      <w:tr w14:paraId="03EF2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12" w:type="dxa"/>
            <w:shd w:val="clear" w:color="auto" w:fill="E5E5E5"/>
            <w:tcMar>
              <w:top w:w="80" w:type="dxa"/>
              <w:left w:w="100" w:type="dxa"/>
              <w:bottom w:w="80" w:type="dxa"/>
              <w:right w:w="100" w:type="dxa"/>
            </w:tcMar>
          </w:tcPr>
          <w:p w14:paraId="4D4F1B7E">
            <w:r>
              <w:rPr>
                <w:b/>
                <w:bCs/>
                <w:sz w:val="20"/>
                <w:szCs w:val="20"/>
              </w:rPr>
              <w:t>Product Type</w:t>
            </w:r>
          </w:p>
        </w:tc>
        <w:tc>
          <w:tcPr>
            <w:tcW w:w="1702" w:type="dxa"/>
            <w:shd w:val="clear" w:color="auto" w:fill="E5E5E5"/>
            <w:tcMar>
              <w:top w:w="80" w:type="dxa"/>
              <w:left w:w="100" w:type="dxa"/>
              <w:bottom w:w="80" w:type="dxa"/>
              <w:right w:w="100" w:type="dxa"/>
            </w:tcMar>
          </w:tcPr>
          <w:p w14:paraId="295AE548">
            <w:r>
              <w:rPr>
                <w:b/>
                <w:bCs/>
                <w:sz w:val="20"/>
                <w:szCs w:val="20"/>
              </w:rPr>
              <w:t>Total Defects</w:t>
            </w:r>
          </w:p>
        </w:tc>
        <w:tc>
          <w:tcPr>
            <w:tcW w:w="1872" w:type="dxa"/>
            <w:shd w:val="clear" w:color="auto" w:fill="E5E5E5"/>
            <w:tcMar>
              <w:top w:w="80" w:type="dxa"/>
              <w:left w:w="100" w:type="dxa"/>
              <w:bottom w:w="80" w:type="dxa"/>
              <w:right w:w="100" w:type="dxa"/>
            </w:tcMar>
          </w:tcPr>
          <w:p w14:paraId="50CAE264">
            <w:r>
              <w:rPr>
                <w:b/>
                <w:bCs/>
                <w:sz w:val="20"/>
                <w:szCs w:val="20"/>
              </w:rPr>
              <w:t>QC Checks Failed</w:t>
            </w:r>
          </w:p>
        </w:tc>
        <w:tc>
          <w:tcPr>
            <w:tcW w:w="1872" w:type="dxa"/>
            <w:shd w:val="clear" w:color="auto" w:fill="E5E5E5"/>
            <w:tcMar>
              <w:top w:w="80" w:type="dxa"/>
              <w:left w:w="100" w:type="dxa"/>
              <w:bottom w:w="80" w:type="dxa"/>
              <w:right w:w="100" w:type="dxa"/>
            </w:tcMar>
          </w:tcPr>
          <w:p w14:paraId="26809343">
            <w:r>
              <w:rPr>
                <w:b/>
                <w:bCs/>
                <w:sz w:val="20"/>
                <w:szCs w:val="20"/>
              </w:rPr>
              <w:t>Units Produced</w:t>
            </w:r>
          </w:p>
        </w:tc>
        <w:tc>
          <w:tcPr>
            <w:tcW w:w="1702" w:type="dxa"/>
            <w:shd w:val="clear" w:color="auto" w:fill="E5E5E5"/>
            <w:tcMar>
              <w:top w:w="80" w:type="dxa"/>
              <w:left w:w="100" w:type="dxa"/>
              <w:bottom w:w="80" w:type="dxa"/>
              <w:right w:w="100" w:type="dxa"/>
            </w:tcMar>
          </w:tcPr>
          <w:p w14:paraId="3533EB8D">
            <w:r>
              <w:rPr>
                <w:b/>
                <w:bCs/>
                <w:sz w:val="20"/>
                <w:szCs w:val="20"/>
              </w:rPr>
              <w:t>Defect Rate</w:t>
            </w:r>
          </w:p>
        </w:tc>
      </w:tr>
      <w:tr w14:paraId="00AF4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12" w:type="dxa"/>
            <w:tcMar>
              <w:top w:w="60" w:type="dxa"/>
              <w:left w:w="100" w:type="dxa"/>
              <w:bottom w:w="60" w:type="dxa"/>
              <w:right w:w="100" w:type="dxa"/>
            </w:tcMar>
          </w:tcPr>
          <w:p w14:paraId="40FCCE91">
            <w:r>
              <w:rPr>
                <w:sz w:val="20"/>
                <w:szCs w:val="20"/>
              </w:rPr>
              <w:t>Furniture</w:t>
            </w:r>
          </w:p>
        </w:tc>
        <w:tc>
          <w:tcPr>
            <w:tcW w:w="1702" w:type="dxa"/>
            <w:tcMar>
              <w:top w:w="60" w:type="dxa"/>
              <w:left w:w="100" w:type="dxa"/>
              <w:bottom w:w="60" w:type="dxa"/>
              <w:right w:w="100" w:type="dxa"/>
            </w:tcMar>
          </w:tcPr>
          <w:p w14:paraId="62715EF2">
            <w:r>
              <w:rPr>
                <w:sz w:val="20"/>
                <w:szCs w:val="20"/>
              </w:rPr>
              <w:t>2,646</w:t>
            </w:r>
          </w:p>
        </w:tc>
        <w:tc>
          <w:tcPr>
            <w:tcW w:w="1872" w:type="dxa"/>
            <w:tcMar>
              <w:top w:w="60" w:type="dxa"/>
              <w:left w:w="100" w:type="dxa"/>
              <w:bottom w:w="60" w:type="dxa"/>
              <w:right w:w="100" w:type="dxa"/>
            </w:tcMar>
          </w:tcPr>
          <w:p w14:paraId="21733C9B">
            <w:r>
              <w:rPr>
                <w:sz w:val="20"/>
                <w:szCs w:val="20"/>
              </w:rPr>
              <w:t>565</w:t>
            </w:r>
          </w:p>
        </w:tc>
        <w:tc>
          <w:tcPr>
            <w:tcW w:w="1872" w:type="dxa"/>
            <w:tcMar>
              <w:top w:w="60" w:type="dxa"/>
              <w:left w:w="100" w:type="dxa"/>
              <w:bottom w:w="60" w:type="dxa"/>
              <w:right w:w="100" w:type="dxa"/>
            </w:tcMar>
          </w:tcPr>
          <w:p w14:paraId="0B1C9F57">
            <w:r>
              <w:rPr>
                <w:sz w:val="20"/>
                <w:szCs w:val="20"/>
              </w:rPr>
              <w:t>70,185</w:t>
            </w:r>
          </w:p>
        </w:tc>
        <w:tc>
          <w:tcPr>
            <w:tcW w:w="1702" w:type="dxa"/>
            <w:tcMar>
              <w:top w:w="60" w:type="dxa"/>
              <w:left w:w="100" w:type="dxa"/>
              <w:bottom w:w="60" w:type="dxa"/>
              <w:right w:w="100" w:type="dxa"/>
            </w:tcMar>
          </w:tcPr>
          <w:p w14:paraId="10E2C0D7">
            <w:r>
              <w:rPr>
                <w:sz w:val="20"/>
                <w:szCs w:val="20"/>
              </w:rPr>
              <w:t>3.77%</w:t>
            </w:r>
          </w:p>
        </w:tc>
      </w:tr>
      <w:tr w14:paraId="096B5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12" w:type="dxa"/>
            <w:tcMar>
              <w:top w:w="60" w:type="dxa"/>
              <w:left w:w="100" w:type="dxa"/>
              <w:bottom w:w="60" w:type="dxa"/>
              <w:right w:w="100" w:type="dxa"/>
            </w:tcMar>
          </w:tcPr>
          <w:p w14:paraId="24F21F13">
            <w:r>
              <w:rPr>
                <w:sz w:val="20"/>
                <w:szCs w:val="20"/>
              </w:rPr>
              <w:t>Electronics</w:t>
            </w:r>
          </w:p>
        </w:tc>
        <w:tc>
          <w:tcPr>
            <w:tcW w:w="1702" w:type="dxa"/>
            <w:tcMar>
              <w:top w:w="60" w:type="dxa"/>
              <w:left w:w="100" w:type="dxa"/>
              <w:bottom w:w="60" w:type="dxa"/>
              <w:right w:w="100" w:type="dxa"/>
            </w:tcMar>
          </w:tcPr>
          <w:p w14:paraId="26A99CE2">
            <w:r>
              <w:rPr>
                <w:sz w:val="20"/>
                <w:szCs w:val="20"/>
              </w:rPr>
              <w:t>2,600</w:t>
            </w:r>
          </w:p>
        </w:tc>
        <w:tc>
          <w:tcPr>
            <w:tcW w:w="1872" w:type="dxa"/>
            <w:tcMar>
              <w:top w:w="60" w:type="dxa"/>
              <w:left w:w="100" w:type="dxa"/>
              <w:bottom w:w="60" w:type="dxa"/>
              <w:right w:w="100" w:type="dxa"/>
            </w:tcMar>
          </w:tcPr>
          <w:p w14:paraId="12392535">
            <w:r>
              <w:rPr>
                <w:sz w:val="20"/>
                <w:szCs w:val="20"/>
              </w:rPr>
              <w:t>565</w:t>
            </w:r>
          </w:p>
        </w:tc>
        <w:tc>
          <w:tcPr>
            <w:tcW w:w="1872" w:type="dxa"/>
            <w:tcMar>
              <w:top w:w="60" w:type="dxa"/>
              <w:left w:w="100" w:type="dxa"/>
              <w:bottom w:w="60" w:type="dxa"/>
              <w:right w:w="100" w:type="dxa"/>
            </w:tcMar>
          </w:tcPr>
          <w:p w14:paraId="5D10C81C">
            <w:r>
              <w:rPr>
                <w:sz w:val="20"/>
                <w:szCs w:val="20"/>
              </w:rPr>
              <w:t>69,722</w:t>
            </w:r>
          </w:p>
        </w:tc>
        <w:tc>
          <w:tcPr>
            <w:tcW w:w="1702" w:type="dxa"/>
            <w:tcMar>
              <w:top w:w="60" w:type="dxa"/>
              <w:left w:w="100" w:type="dxa"/>
              <w:bottom w:w="60" w:type="dxa"/>
              <w:right w:w="100" w:type="dxa"/>
            </w:tcMar>
          </w:tcPr>
          <w:p w14:paraId="23CC891A">
            <w:r>
              <w:rPr>
                <w:sz w:val="20"/>
                <w:szCs w:val="20"/>
              </w:rPr>
              <w:t>3.73%</w:t>
            </w:r>
          </w:p>
        </w:tc>
      </w:tr>
      <w:tr w14:paraId="6E063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12" w:type="dxa"/>
            <w:tcMar>
              <w:top w:w="60" w:type="dxa"/>
              <w:left w:w="100" w:type="dxa"/>
              <w:bottom w:w="60" w:type="dxa"/>
              <w:right w:w="100" w:type="dxa"/>
            </w:tcMar>
          </w:tcPr>
          <w:p w14:paraId="7D643A77">
            <w:r>
              <w:rPr>
                <w:sz w:val="20"/>
                <w:szCs w:val="20"/>
              </w:rPr>
              <w:t>Appliances</w:t>
            </w:r>
          </w:p>
        </w:tc>
        <w:tc>
          <w:tcPr>
            <w:tcW w:w="1702" w:type="dxa"/>
            <w:tcMar>
              <w:top w:w="60" w:type="dxa"/>
              <w:left w:w="100" w:type="dxa"/>
              <w:bottom w:w="60" w:type="dxa"/>
              <w:right w:w="100" w:type="dxa"/>
            </w:tcMar>
          </w:tcPr>
          <w:p w14:paraId="46946FF0">
            <w:r>
              <w:rPr>
                <w:sz w:val="20"/>
                <w:szCs w:val="20"/>
              </w:rPr>
              <w:t>2,766</w:t>
            </w:r>
          </w:p>
        </w:tc>
        <w:tc>
          <w:tcPr>
            <w:tcW w:w="1872" w:type="dxa"/>
            <w:tcMar>
              <w:top w:w="60" w:type="dxa"/>
              <w:left w:w="100" w:type="dxa"/>
              <w:bottom w:w="60" w:type="dxa"/>
              <w:right w:w="100" w:type="dxa"/>
            </w:tcMar>
          </w:tcPr>
          <w:p w14:paraId="432865A7">
            <w:r>
              <w:rPr>
                <w:sz w:val="20"/>
                <w:szCs w:val="20"/>
              </w:rPr>
              <w:t>611</w:t>
            </w:r>
          </w:p>
        </w:tc>
        <w:tc>
          <w:tcPr>
            <w:tcW w:w="1872" w:type="dxa"/>
            <w:tcMar>
              <w:top w:w="60" w:type="dxa"/>
              <w:left w:w="100" w:type="dxa"/>
              <w:bottom w:w="60" w:type="dxa"/>
              <w:right w:w="100" w:type="dxa"/>
            </w:tcMar>
          </w:tcPr>
          <w:p w14:paraId="51E53794">
            <w:r>
              <w:rPr>
                <w:sz w:val="20"/>
                <w:szCs w:val="20"/>
              </w:rPr>
              <w:t>76,242</w:t>
            </w:r>
          </w:p>
        </w:tc>
        <w:tc>
          <w:tcPr>
            <w:tcW w:w="1702" w:type="dxa"/>
            <w:tcMar>
              <w:top w:w="60" w:type="dxa"/>
              <w:left w:w="100" w:type="dxa"/>
              <w:bottom w:w="60" w:type="dxa"/>
              <w:right w:w="100" w:type="dxa"/>
            </w:tcMar>
          </w:tcPr>
          <w:p w14:paraId="39B8A110">
            <w:r>
              <w:rPr>
                <w:sz w:val="20"/>
                <w:szCs w:val="20"/>
              </w:rPr>
              <w:t>3.63%</w:t>
            </w:r>
          </w:p>
        </w:tc>
      </w:tr>
      <w:tr w14:paraId="4AC9B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12" w:type="dxa"/>
            <w:tcMar>
              <w:top w:w="60" w:type="dxa"/>
              <w:left w:w="100" w:type="dxa"/>
              <w:bottom w:w="60" w:type="dxa"/>
              <w:right w:w="100" w:type="dxa"/>
            </w:tcMar>
          </w:tcPr>
          <w:p w14:paraId="7475FE13">
            <w:r>
              <w:rPr>
                <w:sz w:val="20"/>
                <w:szCs w:val="20"/>
              </w:rPr>
              <w:t>Textiles</w:t>
            </w:r>
          </w:p>
        </w:tc>
        <w:tc>
          <w:tcPr>
            <w:tcW w:w="1702" w:type="dxa"/>
            <w:tcMar>
              <w:top w:w="60" w:type="dxa"/>
              <w:left w:w="100" w:type="dxa"/>
              <w:bottom w:w="60" w:type="dxa"/>
              <w:right w:w="100" w:type="dxa"/>
            </w:tcMar>
          </w:tcPr>
          <w:p w14:paraId="6BB77390">
            <w:r>
              <w:rPr>
                <w:sz w:val="20"/>
                <w:szCs w:val="20"/>
              </w:rPr>
              <w:t>2,722</w:t>
            </w:r>
          </w:p>
        </w:tc>
        <w:tc>
          <w:tcPr>
            <w:tcW w:w="1872" w:type="dxa"/>
            <w:tcMar>
              <w:top w:w="60" w:type="dxa"/>
              <w:left w:w="100" w:type="dxa"/>
              <w:bottom w:w="60" w:type="dxa"/>
              <w:right w:w="100" w:type="dxa"/>
            </w:tcMar>
          </w:tcPr>
          <w:p w14:paraId="59C81ED7">
            <w:r>
              <w:rPr>
                <w:sz w:val="20"/>
                <w:szCs w:val="20"/>
              </w:rPr>
              <w:t>622</w:t>
            </w:r>
          </w:p>
        </w:tc>
        <w:tc>
          <w:tcPr>
            <w:tcW w:w="1872" w:type="dxa"/>
            <w:tcMar>
              <w:top w:w="60" w:type="dxa"/>
              <w:left w:w="100" w:type="dxa"/>
              <w:bottom w:w="60" w:type="dxa"/>
              <w:right w:w="100" w:type="dxa"/>
            </w:tcMar>
          </w:tcPr>
          <w:p w14:paraId="20214815">
            <w:r>
              <w:rPr>
                <w:sz w:val="20"/>
                <w:szCs w:val="20"/>
              </w:rPr>
              <w:t>76,407</w:t>
            </w:r>
          </w:p>
        </w:tc>
        <w:tc>
          <w:tcPr>
            <w:tcW w:w="1702" w:type="dxa"/>
            <w:tcMar>
              <w:top w:w="60" w:type="dxa"/>
              <w:left w:w="100" w:type="dxa"/>
              <w:bottom w:w="60" w:type="dxa"/>
              <w:right w:w="100" w:type="dxa"/>
            </w:tcMar>
          </w:tcPr>
          <w:p w14:paraId="6E0BE911">
            <w:r>
              <w:rPr>
                <w:sz w:val="20"/>
                <w:szCs w:val="20"/>
              </w:rPr>
              <w:t>3.56%</w:t>
            </w:r>
          </w:p>
        </w:tc>
      </w:tr>
      <w:tr w14:paraId="14F2E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12" w:type="dxa"/>
            <w:tcMar>
              <w:top w:w="60" w:type="dxa"/>
              <w:left w:w="100" w:type="dxa"/>
              <w:bottom w:w="60" w:type="dxa"/>
              <w:right w:w="100" w:type="dxa"/>
            </w:tcMar>
          </w:tcPr>
          <w:p w14:paraId="3A3273DA">
            <w:r>
              <w:rPr>
                <w:sz w:val="20"/>
                <w:szCs w:val="20"/>
              </w:rPr>
              <w:t>Automotive</w:t>
            </w:r>
          </w:p>
        </w:tc>
        <w:tc>
          <w:tcPr>
            <w:tcW w:w="1702" w:type="dxa"/>
            <w:tcMar>
              <w:top w:w="60" w:type="dxa"/>
              <w:left w:w="100" w:type="dxa"/>
              <w:bottom w:w="60" w:type="dxa"/>
              <w:right w:w="100" w:type="dxa"/>
            </w:tcMar>
          </w:tcPr>
          <w:p w14:paraId="5ABD4653">
            <w:r>
              <w:rPr>
                <w:sz w:val="20"/>
                <w:szCs w:val="20"/>
              </w:rPr>
              <w:t>2,921</w:t>
            </w:r>
          </w:p>
        </w:tc>
        <w:tc>
          <w:tcPr>
            <w:tcW w:w="1872" w:type="dxa"/>
            <w:tcMar>
              <w:top w:w="60" w:type="dxa"/>
              <w:left w:w="100" w:type="dxa"/>
              <w:bottom w:w="60" w:type="dxa"/>
              <w:right w:w="100" w:type="dxa"/>
            </w:tcMar>
          </w:tcPr>
          <w:p w14:paraId="13AE8EFE">
            <w:r>
              <w:rPr>
                <w:sz w:val="20"/>
                <w:szCs w:val="20"/>
              </w:rPr>
              <w:t>645</w:t>
            </w:r>
          </w:p>
        </w:tc>
        <w:tc>
          <w:tcPr>
            <w:tcW w:w="1872" w:type="dxa"/>
            <w:tcMar>
              <w:top w:w="60" w:type="dxa"/>
              <w:left w:w="100" w:type="dxa"/>
              <w:bottom w:w="60" w:type="dxa"/>
              <w:right w:w="100" w:type="dxa"/>
            </w:tcMar>
          </w:tcPr>
          <w:p w14:paraId="3EB139C7">
            <w:r>
              <w:rPr>
                <w:sz w:val="20"/>
                <w:szCs w:val="20"/>
              </w:rPr>
              <w:t>82,557</w:t>
            </w:r>
          </w:p>
        </w:tc>
        <w:tc>
          <w:tcPr>
            <w:tcW w:w="1702" w:type="dxa"/>
            <w:tcMar>
              <w:top w:w="60" w:type="dxa"/>
              <w:left w:w="100" w:type="dxa"/>
              <w:bottom w:w="60" w:type="dxa"/>
              <w:right w:w="100" w:type="dxa"/>
            </w:tcMar>
          </w:tcPr>
          <w:p w14:paraId="7D821CDC">
            <w:r>
              <w:rPr>
                <w:sz w:val="20"/>
                <w:szCs w:val="20"/>
              </w:rPr>
              <w:t>3.54%</w:t>
            </w:r>
          </w:p>
        </w:tc>
      </w:tr>
    </w:tbl>
    <w:p w14:paraId="564FAFFB">
      <w:pPr>
        <w:spacing w:before="60" w:after="240"/>
      </w:pPr>
      <w:r>
        <w:rPr>
          <w:i/>
          <w:iCs/>
          <w:sz w:val="20"/>
          <w:szCs w:val="20"/>
        </w:rPr>
        <w:t>Table 2: Defect volume and rate by product line, sorted from highest to lo</w:t>
      </w:r>
      <w:r>
        <w:rPr>
          <w:rFonts w:hint="default"/>
          <w:i/>
          <w:iCs/>
          <w:sz w:val="20"/>
          <w:szCs w:val="20"/>
          <w:lang w:val="en-US"/>
        </w:rPr>
        <w:t>west</w:t>
      </w:r>
      <w:r>
        <w:rPr>
          <w:i/>
          <w:iCs/>
          <w:sz w:val="20"/>
          <w:szCs w:val="20"/>
        </w:rPr>
        <w:t xml:space="preserve"> defect rate.</w:t>
      </w:r>
    </w:p>
    <w:p w14:paraId="5B98875D">
      <w:pPr>
        <w:spacing w:after="160" w:line="300" w:lineRule="auto"/>
      </w:pPr>
      <w:r>
        <w:rPr>
          <w:b/>
          <w:bCs/>
        </w:rPr>
        <w:t xml:space="preserve">The story here: </w:t>
      </w:r>
      <w:r>
        <w:t>defect rates across all five product types sit inside a narrow 3.5%–3.8% band. Furniture and Electronics run slightly higher than Automotive and Textiles, but the gap is too small to call any single product line the main quality culprit. Quality issues are a plant-wide pattern, not a product-specific one.</w:t>
      </w:r>
    </w:p>
    <w:p w14:paraId="3A76FD36">
      <w:pPr>
        <w:pStyle w:val="3"/>
        <w:spacing w:before="280" w:after="140"/>
      </w:pPr>
      <w:r>
        <w:t>4.2 Is scrap driven by a specific machine, shift, or product line?</w:t>
      </w:r>
    </w:p>
    <w:p w14:paraId="26F8245D">
      <w:pPr>
        <w:spacing w:after="160" w:line="300" w:lineRule="auto"/>
        <w:jc w:val="left"/>
      </w:pPr>
      <w:r>
        <w:t xml:space="preserve">Average scrap rate is nearly identical everywhere </w:t>
      </w:r>
      <w:r>
        <w:rPr>
          <w:lang w:val="en-US"/>
        </w:rPr>
        <w:t>I</w:t>
      </w:r>
      <w:r>
        <w:t xml:space="preserve"> cut the data: 2.98%–3.12% across product types, 2.99%–3.09% across shifts, and 3.11%–3.21% for the highest-scrap machines against a fleet norm </w:t>
      </w:r>
      <w:r>
        <w:rPr>
          <w:lang w:val="en-US"/>
        </w:rPr>
        <w:t>me</w:t>
      </w:r>
      <w:r>
        <w:t>t below that. None of these differences are large enough to point at a single source.</w:t>
      </w:r>
    </w:p>
    <w:p w14:paraId="70C1FBF2">
      <w:pPr>
        <w:pStyle w:val="3"/>
        <w:spacing w:before="280" w:after="140"/>
      </w:pPr>
      <w:r>
        <w:t xml:space="preserve">4.3 Are </w:t>
      </w:r>
      <w:r>
        <w:rPr>
          <w:rFonts w:hint="default"/>
          <w:lang w:val="en-US"/>
        </w:rPr>
        <w:t>we</w:t>
      </w:r>
      <w:r>
        <w:t xml:space="preserve"> paying premium rates to fix our own mistakes?</w:t>
      </w:r>
    </w:p>
    <w:p w14:paraId="2B76A7DB">
      <w:pPr>
        <w:spacing w:after="160" w:line="300" w:lineRule="auto"/>
        <w:jc w:val="left"/>
      </w:pPr>
      <w:r>
        <w:t>The correlation bet</w:t>
      </w:r>
      <w:r>
        <w:rPr>
          <w:rFonts w:hint="default"/>
          <w:lang w:val="en-US"/>
        </w:rPr>
        <w:t>ween</w:t>
      </w:r>
      <w:r>
        <w:t xml:space="preserve"> Rework Hours and Labour Cost Per Hour is 0.02 </w:t>
      </w:r>
      <w:r>
        <w:rPr>
          <w:lang w:val="en-US"/>
        </w:rPr>
        <w:t>-</w:t>
      </w:r>
      <w:r>
        <w:t xml:space="preserve"> essentially no relationship. Rework time is not concentrated on the batches with the highest labour rates, so premium-shift pay is not the driver of our rework burden; the rework hours themselves are the cost to fo</w:t>
      </w:r>
      <w:r>
        <w:rPr>
          <w:rFonts w:hint="default"/>
          <w:lang w:val="en-US"/>
        </w:rPr>
        <w:t xml:space="preserve">cus </w:t>
      </w:r>
      <w:r>
        <w:t>on, independent of which pay tier was active.</w:t>
      </w:r>
    </w:p>
    <w:p w14:paraId="36152BBA">
      <w:pPr>
        <w:pStyle w:val="2"/>
        <w:spacing w:before="360" w:after="180"/>
      </w:pPr>
      <w:r>
        <w:t xml:space="preserve">5. Shift Performance </w:t>
      </w:r>
      <w:r>
        <w:rPr>
          <w:lang w:val="en-US"/>
        </w:rPr>
        <w:t>-</w:t>
      </w:r>
      <w:r>
        <w:t xml:space="preserve"> Is a Shift or Staffing Level to Blame?</w:t>
      </w:r>
    </w:p>
    <w:p w14:paraId="470921CF">
      <w:pPr>
        <w:pStyle w:val="3"/>
        <w:spacing w:before="280" w:after="140"/>
      </w:pPr>
      <w:r>
        <w:t>5.1 Output and defects by shift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2621"/>
        <w:gridCol w:w="2621"/>
        <w:gridCol w:w="2246"/>
      </w:tblGrid>
      <w:tr w14:paraId="2C47D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72" w:type="dxa"/>
            <w:shd w:val="clear" w:color="auto" w:fill="E5E5E5"/>
            <w:tcMar>
              <w:top w:w="80" w:type="dxa"/>
              <w:left w:w="100" w:type="dxa"/>
              <w:bottom w:w="80" w:type="dxa"/>
              <w:right w:w="100" w:type="dxa"/>
            </w:tcMar>
          </w:tcPr>
          <w:p w14:paraId="227B5652">
            <w:r>
              <w:rPr>
                <w:b/>
                <w:bCs/>
                <w:sz w:val="20"/>
                <w:szCs w:val="20"/>
              </w:rPr>
              <w:t>Shift</w:t>
            </w:r>
          </w:p>
        </w:tc>
        <w:tc>
          <w:tcPr>
            <w:tcW w:w="2621" w:type="dxa"/>
            <w:shd w:val="clear" w:color="auto" w:fill="E5E5E5"/>
            <w:tcMar>
              <w:top w:w="80" w:type="dxa"/>
              <w:left w:w="100" w:type="dxa"/>
              <w:bottom w:w="80" w:type="dxa"/>
              <w:right w:w="100" w:type="dxa"/>
            </w:tcMar>
          </w:tcPr>
          <w:p w14:paraId="345702DF">
            <w:r>
              <w:rPr>
                <w:b/>
                <w:bCs/>
                <w:sz w:val="20"/>
                <w:szCs w:val="20"/>
              </w:rPr>
              <w:t>Avg. Units Produced</w:t>
            </w:r>
          </w:p>
        </w:tc>
        <w:tc>
          <w:tcPr>
            <w:tcW w:w="2621" w:type="dxa"/>
            <w:shd w:val="clear" w:color="auto" w:fill="E5E5E5"/>
            <w:tcMar>
              <w:top w:w="80" w:type="dxa"/>
              <w:left w:w="100" w:type="dxa"/>
              <w:bottom w:w="80" w:type="dxa"/>
              <w:right w:w="100" w:type="dxa"/>
            </w:tcMar>
          </w:tcPr>
          <w:p w14:paraId="74C6045A">
            <w:r>
              <w:rPr>
                <w:b/>
                <w:bCs/>
                <w:sz w:val="20"/>
                <w:szCs w:val="20"/>
              </w:rPr>
              <w:t>Avg. Defects per Batch</w:t>
            </w:r>
          </w:p>
        </w:tc>
        <w:tc>
          <w:tcPr>
            <w:tcW w:w="2246" w:type="dxa"/>
            <w:shd w:val="clear" w:color="auto" w:fill="E5E5E5"/>
            <w:tcMar>
              <w:top w:w="80" w:type="dxa"/>
              <w:left w:w="100" w:type="dxa"/>
              <w:bottom w:w="80" w:type="dxa"/>
              <w:right w:w="100" w:type="dxa"/>
            </w:tcMar>
          </w:tcPr>
          <w:p w14:paraId="3EA6FCE9">
            <w:r>
              <w:rPr>
                <w:b/>
                <w:bCs/>
                <w:sz w:val="20"/>
                <w:szCs w:val="20"/>
              </w:rPr>
              <w:t>Avg. Defect Rate</w:t>
            </w:r>
          </w:p>
        </w:tc>
      </w:tr>
      <w:tr w14:paraId="36990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Mar>
              <w:top w:w="60" w:type="dxa"/>
              <w:left w:w="100" w:type="dxa"/>
              <w:bottom w:w="60" w:type="dxa"/>
              <w:right w:w="100" w:type="dxa"/>
            </w:tcMar>
          </w:tcPr>
          <w:p w14:paraId="08291260">
            <w:r>
              <w:rPr>
                <w:sz w:val="20"/>
                <w:szCs w:val="20"/>
              </w:rPr>
              <w:t>Day</w:t>
            </w:r>
          </w:p>
        </w:tc>
        <w:tc>
          <w:tcPr>
            <w:tcW w:w="2621" w:type="dxa"/>
            <w:tcMar>
              <w:top w:w="60" w:type="dxa"/>
              <w:left w:w="100" w:type="dxa"/>
              <w:bottom w:w="60" w:type="dxa"/>
              <w:right w:w="100" w:type="dxa"/>
            </w:tcMar>
          </w:tcPr>
          <w:p w14:paraId="0E24FCB4">
            <w:r>
              <w:rPr>
                <w:sz w:val="20"/>
                <w:szCs w:val="20"/>
              </w:rPr>
              <w:t>124.4</w:t>
            </w:r>
          </w:p>
        </w:tc>
        <w:tc>
          <w:tcPr>
            <w:tcW w:w="2621" w:type="dxa"/>
            <w:tcMar>
              <w:top w:w="60" w:type="dxa"/>
              <w:left w:w="100" w:type="dxa"/>
              <w:bottom w:w="60" w:type="dxa"/>
              <w:right w:w="100" w:type="dxa"/>
            </w:tcMar>
          </w:tcPr>
          <w:p w14:paraId="3C5539F8">
            <w:r>
              <w:rPr>
                <w:sz w:val="20"/>
                <w:szCs w:val="20"/>
              </w:rPr>
              <w:t>4.61</w:t>
            </w:r>
          </w:p>
        </w:tc>
        <w:tc>
          <w:tcPr>
            <w:tcW w:w="2246" w:type="dxa"/>
            <w:tcMar>
              <w:top w:w="60" w:type="dxa"/>
              <w:left w:w="100" w:type="dxa"/>
              <w:bottom w:w="60" w:type="dxa"/>
              <w:right w:w="100" w:type="dxa"/>
            </w:tcMar>
          </w:tcPr>
          <w:p w14:paraId="2E79A455">
            <w:r>
              <w:rPr>
                <w:sz w:val="20"/>
                <w:szCs w:val="20"/>
              </w:rPr>
              <w:t>4.28%</w:t>
            </w:r>
          </w:p>
        </w:tc>
      </w:tr>
      <w:tr w14:paraId="26E14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Mar>
              <w:top w:w="60" w:type="dxa"/>
              <w:left w:w="100" w:type="dxa"/>
              <w:bottom w:w="60" w:type="dxa"/>
              <w:right w:w="100" w:type="dxa"/>
            </w:tcMar>
          </w:tcPr>
          <w:p w14:paraId="47D56144">
            <w:r>
              <w:rPr>
                <w:sz w:val="20"/>
                <w:szCs w:val="20"/>
              </w:rPr>
              <w:t>Night</w:t>
            </w:r>
          </w:p>
        </w:tc>
        <w:tc>
          <w:tcPr>
            <w:tcW w:w="2621" w:type="dxa"/>
            <w:tcMar>
              <w:top w:w="60" w:type="dxa"/>
              <w:left w:w="100" w:type="dxa"/>
              <w:bottom w:w="60" w:type="dxa"/>
              <w:right w:w="100" w:type="dxa"/>
            </w:tcMar>
          </w:tcPr>
          <w:p w14:paraId="33CB487F">
            <w:r>
              <w:rPr>
                <w:sz w:val="20"/>
                <w:szCs w:val="20"/>
              </w:rPr>
              <w:t>124.0</w:t>
            </w:r>
          </w:p>
        </w:tc>
        <w:tc>
          <w:tcPr>
            <w:tcW w:w="2621" w:type="dxa"/>
            <w:tcMar>
              <w:top w:w="60" w:type="dxa"/>
              <w:left w:w="100" w:type="dxa"/>
              <w:bottom w:w="60" w:type="dxa"/>
              <w:right w:w="100" w:type="dxa"/>
            </w:tcMar>
          </w:tcPr>
          <w:p w14:paraId="77CF9279">
            <w:r>
              <w:rPr>
                <w:sz w:val="20"/>
                <w:szCs w:val="20"/>
              </w:rPr>
              <w:t>4.56</w:t>
            </w:r>
          </w:p>
        </w:tc>
        <w:tc>
          <w:tcPr>
            <w:tcW w:w="2246" w:type="dxa"/>
            <w:tcMar>
              <w:top w:w="60" w:type="dxa"/>
              <w:left w:w="100" w:type="dxa"/>
              <w:bottom w:w="60" w:type="dxa"/>
              <w:right w:w="100" w:type="dxa"/>
            </w:tcMar>
          </w:tcPr>
          <w:p w14:paraId="08ABB339">
            <w:r>
              <w:rPr>
                <w:sz w:val="20"/>
                <w:szCs w:val="20"/>
              </w:rPr>
              <w:t>4.27%</w:t>
            </w:r>
          </w:p>
        </w:tc>
      </w:tr>
      <w:tr w14:paraId="22E5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Mar>
              <w:top w:w="60" w:type="dxa"/>
              <w:left w:w="100" w:type="dxa"/>
              <w:bottom w:w="60" w:type="dxa"/>
              <w:right w:w="100" w:type="dxa"/>
            </w:tcMar>
          </w:tcPr>
          <w:p w14:paraId="520B92D8">
            <w:r>
              <w:rPr>
                <w:sz w:val="20"/>
                <w:szCs w:val="20"/>
              </w:rPr>
              <w:t>Swing</w:t>
            </w:r>
          </w:p>
        </w:tc>
        <w:tc>
          <w:tcPr>
            <w:tcW w:w="2621" w:type="dxa"/>
            <w:tcMar>
              <w:top w:w="60" w:type="dxa"/>
              <w:left w:w="100" w:type="dxa"/>
              <w:bottom w:w="60" w:type="dxa"/>
              <w:right w:w="100" w:type="dxa"/>
            </w:tcMar>
          </w:tcPr>
          <w:p w14:paraId="79155E56">
            <w:r>
              <w:rPr>
                <w:sz w:val="20"/>
                <w:szCs w:val="20"/>
              </w:rPr>
              <w:t>126.6</w:t>
            </w:r>
          </w:p>
        </w:tc>
        <w:tc>
          <w:tcPr>
            <w:tcW w:w="2621" w:type="dxa"/>
            <w:tcMar>
              <w:top w:w="60" w:type="dxa"/>
              <w:left w:w="100" w:type="dxa"/>
              <w:bottom w:w="60" w:type="dxa"/>
              <w:right w:w="100" w:type="dxa"/>
            </w:tcMar>
          </w:tcPr>
          <w:p w14:paraId="528CAA2B">
            <w:r>
              <w:rPr>
                <w:sz w:val="20"/>
                <w:szCs w:val="20"/>
              </w:rPr>
              <w:t>4.49</w:t>
            </w:r>
          </w:p>
        </w:tc>
        <w:tc>
          <w:tcPr>
            <w:tcW w:w="2246" w:type="dxa"/>
            <w:tcMar>
              <w:top w:w="60" w:type="dxa"/>
              <w:left w:w="100" w:type="dxa"/>
              <w:bottom w:w="60" w:type="dxa"/>
              <w:right w:w="100" w:type="dxa"/>
            </w:tcMar>
          </w:tcPr>
          <w:p w14:paraId="2EB159BD">
            <w:r>
              <w:rPr>
                <w:sz w:val="20"/>
                <w:szCs w:val="20"/>
              </w:rPr>
              <w:t>4.10%</w:t>
            </w:r>
          </w:p>
        </w:tc>
      </w:tr>
    </w:tbl>
    <w:p w14:paraId="51A16D77">
      <w:pPr>
        <w:spacing w:before="60" w:after="240"/>
      </w:pPr>
      <w:r>
        <w:rPr>
          <w:i/>
          <w:iCs/>
          <w:sz w:val="20"/>
          <w:szCs w:val="20"/>
        </w:rPr>
        <w:t>Table 3: Average output and defect performance by shift.</w:t>
      </w:r>
    </w:p>
    <w:p w14:paraId="16D80FD3">
      <w:pPr>
        <w:spacing w:after="160" w:line="300" w:lineRule="auto"/>
      </w:pPr>
      <w:r>
        <w:rPr>
          <w:b/>
          <w:bCs/>
        </w:rPr>
        <w:t xml:space="preserve">The story here: </w:t>
      </w:r>
      <w:r>
        <w:t>there is no statistically meaningful drop in output or spike in defects on Night or Swing shift. If anything, Swing shift edges out Day and Night on both output and defect rate, though the difference is small. The long-held assumption that night operations under-perform is not supported by this data.</w:t>
      </w:r>
    </w:p>
    <w:p w14:paraId="70BEC38D">
      <w:pPr>
        <w:pStyle w:val="3"/>
        <w:spacing w:before="280" w:after="140"/>
      </w:pPr>
      <w:r>
        <w:t>5.2 Does adding operators increase output?</w:t>
      </w:r>
    </w:p>
    <w:p w14:paraId="75CB4A2E">
      <w:pPr>
        <w:spacing w:after="160" w:line="300" w:lineRule="auto"/>
        <w:jc w:val="left"/>
      </w:pPr>
      <w:r>
        <w:t>The correlation be</w:t>
      </w:r>
      <w:r>
        <w:rPr>
          <w:rFonts w:hint="default"/>
          <w:lang w:val="en-US"/>
        </w:rPr>
        <w:t>tween</w:t>
      </w:r>
      <w:r>
        <w:t xml:space="preserve"> Operator Count and Units Produced is 0.007 </w:t>
      </w:r>
      <w:r>
        <w:rPr>
          <w:lang w:val="en-US"/>
        </w:rPr>
        <w:t>-</w:t>
      </w:r>
      <w:r>
        <w:t xml:space="preserve"> essentially no relationship. Production-per-hour figures confirm the same story: 17.3 units/hour with one operator, 16.8 with two, 18.0 with three, and 17.5 with four. Output per hour does not climb as headcount rises.</w:t>
      </w:r>
    </w:p>
    <w:p w14:paraId="2FEF00BC">
      <w:pPr>
        <w:spacing w:after="160" w:line="300" w:lineRule="auto"/>
      </w:pPr>
      <w:r>
        <w:rPr>
          <w:b/>
          <w:bCs/>
        </w:rPr>
        <w:t xml:space="preserve">The story here: </w:t>
      </w:r>
      <w:r>
        <w:t>adding operators to a line is not buying proportional output. This is consistent with a labour bottleneck elsewhere in the process (machine speed, material supply, or downtime) rather than a staffing shortage, and it raises a real question about whether some lines are over-staffed relative to what they can actually produce.</w:t>
      </w:r>
    </w:p>
    <w:p w14:paraId="5A7684BE">
      <w:pPr>
        <w:pStyle w:val="2"/>
        <w:spacing w:before="360" w:after="180"/>
      </w:pPr>
      <w:r>
        <w:t xml:space="preserve">6. Environmental Conditions &amp; Energy </w:t>
      </w:r>
      <w:r>
        <w:rPr>
          <w:lang w:val="en-US"/>
        </w:rPr>
        <w:t>-</w:t>
      </w:r>
      <w:r>
        <w:t xml:space="preserve"> Are Temperature and Humidity the Culprit?</w:t>
      </w:r>
    </w:p>
    <w:p w14:paraId="07157403">
      <w:pPr>
        <w:pStyle w:val="3"/>
        <w:spacing w:before="280" w:after="140"/>
      </w:pPr>
      <w:r>
        <w:t>6.1 Environmental Impact Matrix</w:t>
      </w:r>
    </w:p>
    <w:p w14:paraId="321F7676">
      <w:pPr>
        <w:spacing w:after="160" w:line="300" w:lineRule="auto"/>
        <w:jc w:val="left"/>
      </w:pPr>
      <w:r>
        <w:t>The BRD specifically asked for a correlation matrix testing whether temperature and humidity swings map to defects, downtime, or scrap. Below is that matrix.</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67"/>
        <w:gridCol w:w="1282"/>
        <w:gridCol w:w="1282"/>
        <w:gridCol w:w="1282"/>
        <w:gridCol w:w="1282"/>
        <w:gridCol w:w="1282"/>
        <w:gridCol w:w="1283"/>
      </w:tblGrid>
      <w:tr w14:paraId="5E291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67" w:type="dxa"/>
            <w:shd w:val="clear" w:color="auto" w:fill="E5E5E5"/>
            <w:tcMar>
              <w:top w:w="80" w:type="dxa"/>
              <w:left w:w="100" w:type="dxa"/>
              <w:bottom w:w="80" w:type="dxa"/>
              <w:right w:w="100" w:type="dxa"/>
            </w:tcMar>
          </w:tcPr>
          <w:p w14:paraId="06D8276D"/>
        </w:tc>
        <w:tc>
          <w:tcPr>
            <w:tcW w:w="1282" w:type="dxa"/>
            <w:shd w:val="clear" w:color="auto" w:fill="E5E5E5"/>
            <w:tcMar>
              <w:top w:w="80" w:type="dxa"/>
              <w:left w:w="100" w:type="dxa"/>
              <w:bottom w:w="80" w:type="dxa"/>
              <w:right w:w="100" w:type="dxa"/>
            </w:tcMar>
          </w:tcPr>
          <w:p w14:paraId="01CFB787">
            <w:r>
              <w:rPr>
                <w:b/>
                <w:bCs/>
                <w:sz w:val="20"/>
                <w:szCs w:val="20"/>
              </w:rPr>
              <w:t>Temp.</w:t>
            </w:r>
          </w:p>
        </w:tc>
        <w:tc>
          <w:tcPr>
            <w:tcW w:w="1282" w:type="dxa"/>
            <w:shd w:val="clear" w:color="auto" w:fill="E5E5E5"/>
            <w:tcMar>
              <w:top w:w="80" w:type="dxa"/>
              <w:left w:w="100" w:type="dxa"/>
              <w:bottom w:w="80" w:type="dxa"/>
              <w:right w:w="100" w:type="dxa"/>
            </w:tcMar>
          </w:tcPr>
          <w:p w14:paraId="43786233">
            <w:r>
              <w:rPr>
                <w:b/>
                <w:bCs/>
                <w:sz w:val="20"/>
                <w:szCs w:val="20"/>
              </w:rPr>
              <w:t>Humidity</w:t>
            </w:r>
          </w:p>
        </w:tc>
        <w:tc>
          <w:tcPr>
            <w:tcW w:w="1282" w:type="dxa"/>
            <w:shd w:val="clear" w:color="auto" w:fill="E5E5E5"/>
            <w:tcMar>
              <w:top w:w="80" w:type="dxa"/>
              <w:left w:w="100" w:type="dxa"/>
              <w:bottom w:w="80" w:type="dxa"/>
              <w:right w:w="100" w:type="dxa"/>
            </w:tcMar>
          </w:tcPr>
          <w:p w14:paraId="605BF104">
            <w:r>
              <w:rPr>
                <w:b/>
                <w:bCs/>
                <w:sz w:val="20"/>
                <w:szCs w:val="20"/>
              </w:rPr>
              <w:t>Defects</w:t>
            </w:r>
          </w:p>
        </w:tc>
        <w:tc>
          <w:tcPr>
            <w:tcW w:w="1282" w:type="dxa"/>
            <w:shd w:val="clear" w:color="auto" w:fill="E5E5E5"/>
            <w:tcMar>
              <w:top w:w="80" w:type="dxa"/>
              <w:left w:w="100" w:type="dxa"/>
              <w:bottom w:w="80" w:type="dxa"/>
              <w:right w:w="100" w:type="dxa"/>
            </w:tcMar>
          </w:tcPr>
          <w:p w14:paraId="6A9B7786">
            <w:r>
              <w:rPr>
                <w:b/>
                <w:bCs/>
                <w:sz w:val="20"/>
                <w:szCs w:val="20"/>
              </w:rPr>
              <w:t>QC Failed</w:t>
            </w:r>
          </w:p>
        </w:tc>
        <w:tc>
          <w:tcPr>
            <w:tcW w:w="1282" w:type="dxa"/>
            <w:shd w:val="clear" w:color="auto" w:fill="E5E5E5"/>
            <w:tcMar>
              <w:top w:w="80" w:type="dxa"/>
              <w:left w:w="100" w:type="dxa"/>
              <w:bottom w:w="80" w:type="dxa"/>
              <w:right w:w="100" w:type="dxa"/>
            </w:tcMar>
          </w:tcPr>
          <w:p w14:paraId="4A8A8802">
            <w:r>
              <w:rPr>
                <w:b/>
                <w:bCs/>
                <w:sz w:val="20"/>
                <w:szCs w:val="20"/>
              </w:rPr>
              <w:t>Downtime</w:t>
            </w:r>
          </w:p>
        </w:tc>
        <w:tc>
          <w:tcPr>
            <w:tcW w:w="1282" w:type="dxa"/>
            <w:shd w:val="clear" w:color="auto" w:fill="E5E5E5"/>
            <w:tcMar>
              <w:top w:w="80" w:type="dxa"/>
              <w:left w:w="100" w:type="dxa"/>
              <w:bottom w:w="80" w:type="dxa"/>
              <w:right w:w="100" w:type="dxa"/>
            </w:tcMar>
          </w:tcPr>
          <w:p w14:paraId="08D8DF6A">
            <w:r>
              <w:rPr>
                <w:b/>
                <w:bCs/>
                <w:sz w:val="20"/>
                <w:szCs w:val="20"/>
              </w:rPr>
              <w:t>Scrap Rate</w:t>
            </w:r>
          </w:p>
        </w:tc>
      </w:tr>
      <w:tr w14:paraId="6A653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7" w:type="dxa"/>
            <w:tcMar>
              <w:top w:w="60" w:type="dxa"/>
              <w:left w:w="100" w:type="dxa"/>
              <w:bottom w:w="60" w:type="dxa"/>
              <w:right w:w="100" w:type="dxa"/>
            </w:tcMar>
          </w:tcPr>
          <w:p w14:paraId="7596EDA1">
            <w:r>
              <w:rPr>
                <w:sz w:val="20"/>
                <w:szCs w:val="20"/>
              </w:rPr>
              <w:t>Temperature</w:t>
            </w:r>
          </w:p>
        </w:tc>
        <w:tc>
          <w:tcPr>
            <w:tcW w:w="1282" w:type="dxa"/>
            <w:tcMar>
              <w:top w:w="60" w:type="dxa"/>
              <w:left w:w="100" w:type="dxa"/>
              <w:bottom w:w="60" w:type="dxa"/>
              <w:right w:w="100" w:type="dxa"/>
            </w:tcMar>
          </w:tcPr>
          <w:p w14:paraId="311E69DD">
            <w:r>
              <w:rPr>
                <w:sz w:val="20"/>
                <w:szCs w:val="20"/>
              </w:rPr>
              <w:t>1.00</w:t>
            </w:r>
          </w:p>
        </w:tc>
        <w:tc>
          <w:tcPr>
            <w:tcW w:w="1282" w:type="dxa"/>
            <w:tcMar>
              <w:top w:w="60" w:type="dxa"/>
              <w:left w:w="100" w:type="dxa"/>
              <w:bottom w:w="60" w:type="dxa"/>
              <w:right w:w="100" w:type="dxa"/>
            </w:tcMar>
          </w:tcPr>
          <w:p w14:paraId="21D888F3">
            <w:r>
              <w:rPr>
                <w:sz w:val="20"/>
                <w:szCs w:val="20"/>
              </w:rPr>
              <w:t>0.01</w:t>
            </w:r>
          </w:p>
        </w:tc>
        <w:tc>
          <w:tcPr>
            <w:tcW w:w="1282" w:type="dxa"/>
            <w:tcMar>
              <w:top w:w="60" w:type="dxa"/>
              <w:left w:w="100" w:type="dxa"/>
              <w:bottom w:w="60" w:type="dxa"/>
              <w:right w:w="100" w:type="dxa"/>
            </w:tcMar>
          </w:tcPr>
          <w:p w14:paraId="1162BDF2">
            <w:r>
              <w:rPr>
                <w:sz w:val="20"/>
                <w:szCs w:val="20"/>
              </w:rPr>
              <w:t>0.01</w:t>
            </w:r>
          </w:p>
        </w:tc>
        <w:tc>
          <w:tcPr>
            <w:tcW w:w="1282" w:type="dxa"/>
            <w:tcMar>
              <w:top w:w="60" w:type="dxa"/>
              <w:left w:w="100" w:type="dxa"/>
              <w:bottom w:w="60" w:type="dxa"/>
              <w:right w:w="100" w:type="dxa"/>
            </w:tcMar>
          </w:tcPr>
          <w:p w14:paraId="5AD5EB91">
            <w:r>
              <w:rPr>
                <w:sz w:val="20"/>
                <w:szCs w:val="20"/>
              </w:rPr>
              <w:t>0.01</w:t>
            </w:r>
          </w:p>
        </w:tc>
        <w:tc>
          <w:tcPr>
            <w:tcW w:w="1282" w:type="dxa"/>
            <w:tcMar>
              <w:top w:w="60" w:type="dxa"/>
              <w:left w:w="100" w:type="dxa"/>
              <w:bottom w:w="60" w:type="dxa"/>
              <w:right w:w="100" w:type="dxa"/>
            </w:tcMar>
          </w:tcPr>
          <w:p w14:paraId="01661E98">
            <w:r>
              <w:rPr>
                <w:sz w:val="20"/>
                <w:szCs w:val="20"/>
              </w:rPr>
              <w:t>0.02</w:t>
            </w:r>
          </w:p>
        </w:tc>
        <w:tc>
          <w:tcPr>
            <w:tcW w:w="1282" w:type="dxa"/>
            <w:tcMar>
              <w:top w:w="60" w:type="dxa"/>
              <w:left w:w="100" w:type="dxa"/>
              <w:bottom w:w="60" w:type="dxa"/>
              <w:right w:w="100" w:type="dxa"/>
            </w:tcMar>
          </w:tcPr>
          <w:p w14:paraId="67BAF716">
            <w:r>
              <w:rPr>
                <w:sz w:val="20"/>
                <w:szCs w:val="20"/>
              </w:rPr>
              <w:t>0.02</w:t>
            </w:r>
          </w:p>
        </w:tc>
      </w:tr>
      <w:tr w14:paraId="47F32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7" w:type="dxa"/>
            <w:tcMar>
              <w:top w:w="60" w:type="dxa"/>
              <w:left w:w="100" w:type="dxa"/>
              <w:bottom w:w="60" w:type="dxa"/>
              <w:right w:w="100" w:type="dxa"/>
            </w:tcMar>
          </w:tcPr>
          <w:p w14:paraId="6F175583">
            <w:r>
              <w:rPr>
                <w:sz w:val="20"/>
                <w:szCs w:val="20"/>
              </w:rPr>
              <w:t>Humidity</w:t>
            </w:r>
          </w:p>
        </w:tc>
        <w:tc>
          <w:tcPr>
            <w:tcW w:w="1282" w:type="dxa"/>
            <w:tcMar>
              <w:top w:w="60" w:type="dxa"/>
              <w:left w:w="100" w:type="dxa"/>
              <w:bottom w:w="60" w:type="dxa"/>
              <w:right w:w="100" w:type="dxa"/>
            </w:tcMar>
          </w:tcPr>
          <w:p w14:paraId="4FEC39F2">
            <w:r>
              <w:rPr>
                <w:sz w:val="20"/>
                <w:szCs w:val="20"/>
              </w:rPr>
              <w:t>0.01</w:t>
            </w:r>
          </w:p>
        </w:tc>
        <w:tc>
          <w:tcPr>
            <w:tcW w:w="1282" w:type="dxa"/>
            <w:tcMar>
              <w:top w:w="60" w:type="dxa"/>
              <w:left w:w="100" w:type="dxa"/>
              <w:bottom w:w="60" w:type="dxa"/>
              <w:right w:w="100" w:type="dxa"/>
            </w:tcMar>
          </w:tcPr>
          <w:p w14:paraId="6B6F299A">
            <w:r>
              <w:rPr>
                <w:sz w:val="20"/>
                <w:szCs w:val="20"/>
              </w:rPr>
              <w:t>1.00</w:t>
            </w:r>
          </w:p>
        </w:tc>
        <w:tc>
          <w:tcPr>
            <w:tcW w:w="1282" w:type="dxa"/>
            <w:tcMar>
              <w:top w:w="60" w:type="dxa"/>
              <w:left w:w="100" w:type="dxa"/>
              <w:bottom w:w="60" w:type="dxa"/>
              <w:right w:w="100" w:type="dxa"/>
            </w:tcMar>
          </w:tcPr>
          <w:p w14:paraId="32A78C2D">
            <w:r>
              <w:rPr>
                <w:sz w:val="20"/>
                <w:szCs w:val="20"/>
              </w:rPr>
              <w:t>0.00</w:t>
            </w:r>
          </w:p>
        </w:tc>
        <w:tc>
          <w:tcPr>
            <w:tcW w:w="1282" w:type="dxa"/>
            <w:tcMar>
              <w:top w:w="60" w:type="dxa"/>
              <w:left w:w="100" w:type="dxa"/>
              <w:bottom w:w="60" w:type="dxa"/>
              <w:right w:w="100" w:type="dxa"/>
            </w:tcMar>
          </w:tcPr>
          <w:p w14:paraId="6C27CDD1">
            <w:r>
              <w:rPr>
                <w:sz w:val="20"/>
                <w:szCs w:val="20"/>
              </w:rPr>
              <w:t>0.02</w:t>
            </w:r>
          </w:p>
        </w:tc>
        <w:tc>
          <w:tcPr>
            <w:tcW w:w="1282" w:type="dxa"/>
            <w:tcMar>
              <w:top w:w="60" w:type="dxa"/>
              <w:left w:w="100" w:type="dxa"/>
              <w:bottom w:w="60" w:type="dxa"/>
              <w:right w:w="100" w:type="dxa"/>
            </w:tcMar>
          </w:tcPr>
          <w:p w14:paraId="26F9052E">
            <w:r>
              <w:rPr>
                <w:sz w:val="20"/>
                <w:szCs w:val="20"/>
              </w:rPr>
              <w:t>0.05</w:t>
            </w:r>
          </w:p>
        </w:tc>
        <w:tc>
          <w:tcPr>
            <w:tcW w:w="1282" w:type="dxa"/>
            <w:tcMar>
              <w:top w:w="60" w:type="dxa"/>
              <w:left w:w="100" w:type="dxa"/>
              <w:bottom w:w="60" w:type="dxa"/>
              <w:right w:w="100" w:type="dxa"/>
            </w:tcMar>
          </w:tcPr>
          <w:p w14:paraId="7A4CECB4">
            <w:r>
              <w:rPr>
                <w:sz w:val="20"/>
                <w:szCs w:val="20"/>
              </w:rPr>
              <w:t>0.03</w:t>
            </w:r>
          </w:p>
        </w:tc>
      </w:tr>
      <w:tr w14:paraId="4B14D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7" w:type="dxa"/>
            <w:tcMar>
              <w:top w:w="60" w:type="dxa"/>
              <w:left w:w="100" w:type="dxa"/>
              <w:bottom w:w="60" w:type="dxa"/>
              <w:right w:w="100" w:type="dxa"/>
            </w:tcMar>
          </w:tcPr>
          <w:p w14:paraId="43EB3B97">
            <w:r>
              <w:rPr>
                <w:sz w:val="20"/>
                <w:szCs w:val="20"/>
              </w:rPr>
              <w:t>Defects</w:t>
            </w:r>
          </w:p>
        </w:tc>
        <w:tc>
          <w:tcPr>
            <w:tcW w:w="1282" w:type="dxa"/>
            <w:tcMar>
              <w:top w:w="60" w:type="dxa"/>
              <w:left w:w="100" w:type="dxa"/>
              <w:bottom w:w="60" w:type="dxa"/>
              <w:right w:w="100" w:type="dxa"/>
            </w:tcMar>
          </w:tcPr>
          <w:p w14:paraId="1DE13712">
            <w:r>
              <w:rPr>
                <w:sz w:val="20"/>
                <w:szCs w:val="20"/>
              </w:rPr>
              <w:t>0.01</w:t>
            </w:r>
          </w:p>
        </w:tc>
        <w:tc>
          <w:tcPr>
            <w:tcW w:w="1282" w:type="dxa"/>
            <w:tcMar>
              <w:top w:w="60" w:type="dxa"/>
              <w:left w:w="100" w:type="dxa"/>
              <w:bottom w:w="60" w:type="dxa"/>
              <w:right w:w="100" w:type="dxa"/>
            </w:tcMar>
          </w:tcPr>
          <w:p w14:paraId="7BD18890">
            <w:r>
              <w:rPr>
                <w:sz w:val="20"/>
                <w:szCs w:val="20"/>
              </w:rPr>
              <w:t>0.00</w:t>
            </w:r>
          </w:p>
        </w:tc>
        <w:tc>
          <w:tcPr>
            <w:tcW w:w="1282" w:type="dxa"/>
            <w:tcMar>
              <w:top w:w="60" w:type="dxa"/>
              <w:left w:w="100" w:type="dxa"/>
              <w:bottom w:w="60" w:type="dxa"/>
              <w:right w:w="100" w:type="dxa"/>
            </w:tcMar>
          </w:tcPr>
          <w:p w14:paraId="033E643E">
            <w:r>
              <w:rPr>
                <w:sz w:val="20"/>
                <w:szCs w:val="20"/>
              </w:rPr>
              <w:t>1.00</w:t>
            </w:r>
          </w:p>
        </w:tc>
        <w:tc>
          <w:tcPr>
            <w:tcW w:w="1282" w:type="dxa"/>
            <w:tcMar>
              <w:top w:w="60" w:type="dxa"/>
              <w:left w:w="100" w:type="dxa"/>
              <w:bottom w:w="60" w:type="dxa"/>
              <w:right w:w="100" w:type="dxa"/>
            </w:tcMar>
          </w:tcPr>
          <w:p w14:paraId="1A537A46">
            <w:r>
              <w:rPr>
                <w:sz w:val="20"/>
                <w:szCs w:val="20"/>
              </w:rPr>
              <w:t>-0.03</w:t>
            </w:r>
          </w:p>
        </w:tc>
        <w:tc>
          <w:tcPr>
            <w:tcW w:w="1282" w:type="dxa"/>
            <w:tcMar>
              <w:top w:w="60" w:type="dxa"/>
              <w:left w:w="100" w:type="dxa"/>
              <w:bottom w:w="60" w:type="dxa"/>
              <w:right w:w="100" w:type="dxa"/>
            </w:tcMar>
          </w:tcPr>
          <w:p w14:paraId="52CB372B">
            <w:r>
              <w:rPr>
                <w:sz w:val="20"/>
                <w:szCs w:val="20"/>
              </w:rPr>
              <w:t>0.03</w:t>
            </w:r>
          </w:p>
        </w:tc>
        <w:tc>
          <w:tcPr>
            <w:tcW w:w="1282" w:type="dxa"/>
            <w:tcMar>
              <w:top w:w="60" w:type="dxa"/>
              <w:left w:w="100" w:type="dxa"/>
              <w:bottom w:w="60" w:type="dxa"/>
              <w:right w:w="100" w:type="dxa"/>
            </w:tcMar>
          </w:tcPr>
          <w:p w14:paraId="55D046E7">
            <w:r>
              <w:rPr>
                <w:sz w:val="20"/>
                <w:szCs w:val="20"/>
              </w:rPr>
              <w:t>0.00</w:t>
            </w:r>
          </w:p>
        </w:tc>
      </w:tr>
      <w:tr w14:paraId="638B4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7" w:type="dxa"/>
            <w:tcMar>
              <w:top w:w="60" w:type="dxa"/>
              <w:left w:w="100" w:type="dxa"/>
              <w:bottom w:w="60" w:type="dxa"/>
              <w:right w:w="100" w:type="dxa"/>
            </w:tcMar>
          </w:tcPr>
          <w:p w14:paraId="5CC080D1">
            <w:r>
              <w:rPr>
                <w:sz w:val="20"/>
                <w:szCs w:val="20"/>
              </w:rPr>
              <w:t>QC Failed</w:t>
            </w:r>
          </w:p>
        </w:tc>
        <w:tc>
          <w:tcPr>
            <w:tcW w:w="1282" w:type="dxa"/>
            <w:tcMar>
              <w:top w:w="60" w:type="dxa"/>
              <w:left w:w="100" w:type="dxa"/>
              <w:bottom w:w="60" w:type="dxa"/>
              <w:right w:w="100" w:type="dxa"/>
            </w:tcMar>
          </w:tcPr>
          <w:p w14:paraId="27834A4C">
            <w:r>
              <w:rPr>
                <w:sz w:val="20"/>
                <w:szCs w:val="20"/>
              </w:rPr>
              <w:t>0.01</w:t>
            </w:r>
          </w:p>
        </w:tc>
        <w:tc>
          <w:tcPr>
            <w:tcW w:w="1282" w:type="dxa"/>
            <w:tcMar>
              <w:top w:w="60" w:type="dxa"/>
              <w:left w:w="100" w:type="dxa"/>
              <w:bottom w:w="60" w:type="dxa"/>
              <w:right w:w="100" w:type="dxa"/>
            </w:tcMar>
          </w:tcPr>
          <w:p w14:paraId="42CDB8AD">
            <w:r>
              <w:rPr>
                <w:sz w:val="20"/>
                <w:szCs w:val="20"/>
              </w:rPr>
              <w:t>0.02</w:t>
            </w:r>
          </w:p>
        </w:tc>
        <w:tc>
          <w:tcPr>
            <w:tcW w:w="1282" w:type="dxa"/>
            <w:tcMar>
              <w:top w:w="60" w:type="dxa"/>
              <w:left w:w="100" w:type="dxa"/>
              <w:bottom w:w="60" w:type="dxa"/>
              <w:right w:w="100" w:type="dxa"/>
            </w:tcMar>
          </w:tcPr>
          <w:p w14:paraId="1801D72A">
            <w:r>
              <w:rPr>
                <w:sz w:val="20"/>
                <w:szCs w:val="20"/>
              </w:rPr>
              <w:t>-0.03</w:t>
            </w:r>
          </w:p>
        </w:tc>
        <w:tc>
          <w:tcPr>
            <w:tcW w:w="1282" w:type="dxa"/>
            <w:tcMar>
              <w:top w:w="60" w:type="dxa"/>
              <w:left w:w="100" w:type="dxa"/>
              <w:bottom w:w="60" w:type="dxa"/>
              <w:right w:w="100" w:type="dxa"/>
            </w:tcMar>
          </w:tcPr>
          <w:p w14:paraId="7399E4D9">
            <w:r>
              <w:rPr>
                <w:sz w:val="20"/>
                <w:szCs w:val="20"/>
              </w:rPr>
              <w:t>1.00</w:t>
            </w:r>
          </w:p>
        </w:tc>
        <w:tc>
          <w:tcPr>
            <w:tcW w:w="1282" w:type="dxa"/>
            <w:tcMar>
              <w:top w:w="60" w:type="dxa"/>
              <w:left w:w="100" w:type="dxa"/>
              <w:bottom w:w="60" w:type="dxa"/>
              <w:right w:w="100" w:type="dxa"/>
            </w:tcMar>
          </w:tcPr>
          <w:p w14:paraId="600E2C2A">
            <w:r>
              <w:rPr>
                <w:sz w:val="20"/>
                <w:szCs w:val="20"/>
              </w:rPr>
              <w:t>-0.01</w:t>
            </w:r>
          </w:p>
        </w:tc>
        <w:tc>
          <w:tcPr>
            <w:tcW w:w="1282" w:type="dxa"/>
            <w:tcMar>
              <w:top w:w="60" w:type="dxa"/>
              <w:left w:w="100" w:type="dxa"/>
              <w:bottom w:w="60" w:type="dxa"/>
              <w:right w:w="100" w:type="dxa"/>
            </w:tcMar>
          </w:tcPr>
          <w:p w14:paraId="3E2436F9">
            <w:r>
              <w:rPr>
                <w:sz w:val="20"/>
                <w:szCs w:val="20"/>
              </w:rPr>
              <w:t>0.02</w:t>
            </w:r>
          </w:p>
        </w:tc>
      </w:tr>
      <w:tr w14:paraId="58025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7" w:type="dxa"/>
            <w:tcMar>
              <w:top w:w="60" w:type="dxa"/>
              <w:left w:w="100" w:type="dxa"/>
              <w:bottom w:w="60" w:type="dxa"/>
              <w:right w:w="100" w:type="dxa"/>
            </w:tcMar>
          </w:tcPr>
          <w:p w14:paraId="1B072A2D">
            <w:r>
              <w:rPr>
                <w:sz w:val="20"/>
                <w:szCs w:val="20"/>
              </w:rPr>
              <w:t>Downtime</w:t>
            </w:r>
          </w:p>
        </w:tc>
        <w:tc>
          <w:tcPr>
            <w:tcW w:w="1282" w:type="dxa"/>
            <w:tcMar>
              <w:top w:w="60" w:type="dxa"/>
              <w:left w:w="100" w:type="dxa"/>
              <w:bottom w:w="60" w:type="dxa"/>
              <w:right w:w="100" w:type="dxa"/>
            </w:tcMar>
          </w:tcPr>
          <w:p w14:paraId="7CAC0A86">
            <w:r>
              <w:rPr>
                <w:sz w:val="20"/>
                <w:szCs w:val="20"/>
              </w:rPr>
              <w:t>0.02</w:t>
            </w:r>
          </w:p>
        </w:tc>
        <w:tc>
          <w:tcPr>
            <w:tcW w:w="1282" w:type="dxa"/>
            <w:tcMar>
              <w:top w:w="60" w:type="dxa"/>
              <w:left w:w="100" w:type="dxa"/>
              <w:bottom w:w="60" w:type="dxa"/>
              <w:right w:w="100" w:type="dxa"/>
            </w:tcMar>
          </w:tcPr>
          <w:p w14:paraId="67C60378">
            <w:r>
              <w:rPr>
                <w:sz w:val="20"/>
                <w:szCs w:val="20"/>
              </w:rPr>
              <w:t>0.05</w:t>
            </w:r>
          </w:p>
        </w:tc>
        <w:tc>
          <w:tcPr>
            <w:tcW w:w="1282" w:type="dxa"/>
            <w:tcMar>
              <w:top w:w="60" w:type="dxa"/>
              <w:left w:w="100" w:type="dxa"/>
              <w:bottom w:w="60" w:type="dxa"/>
              <w:right w:w="100" w:type="dxa"/>
            </w:tcMar>
          </w:tcPr>
          <w:p w14:paraId="231EBE05">
            <w:r>
              <w:rPr>
                <w:sz w:val="20"/>
                <w:szCs w:val="20"/>
              </w:rPr>
              <w:t>0.03</w:t>
            </w:r>
          </w:p>
        </w:tc>
        <w:tc>
          <w:tcPr>
            <w:tcW w:w="1282" w:type="dxa"/>
            <w:tcMar>
              <w:top w:w="60" w:type="dxa"/>
              <w:left w:w="100" w:type="dxa"/>
              <w:bottom w:w="60" w:type="dxa"/>
              <w:right w:w="100" w:type="dxa"/>
            </w:tcMar>
          </w:tcPr>
          <w:p w14:paraId="78870B15">
            <w:r>
              <w:rPr>
                <w:sz w:val="20"/>
                <w:szCs w:val="20"/>
              </w:rPr>
              <w:t>-0.01</w:t>
            </w:r>
          </w:p>
        </w:tc>
        <w:tc>
          <w:tcPr>
            <w:tcW w:w="1282" w:type="dxa"/>
            <w:tcMar>
              <w:top w:w="60" w:type="dxa"/>
              <w:left w:w="100" w:type="dxa"/>
              <w:bottom w:w="60" w:type="dxa"/>
              <w:right w:w="100" w:type="dxa"/>
            </w:tcMar>
          </w:tcPr>
          <w:p w14:paraId="2DA932B0">
            <w:r>
              <w:rPr>
                <w:sz w:val="20"/>
                <w:szCs w:val="20"/>
              </w:rPr>
              <w:t>1.00</w:t>
            </w:r>
          </w:p>
        </w:tc>
        <w:tc>
          <w:tcPr>
            <w:tcW w:w="1282" w:type="dxa"/>
            <w:tcMar>
              <w:top w:w="60" w:type="dxa"/>
              <w:left w:w="100" w:type="dxa"/>
              <w:bottom w:w="60" w:type="dxa"/>
              <w:right w:w="100" w:type="dxa"/>
            </w:tcMar>
          </w:tcPr>
          <w:p w14:paraId="00753124">
            <w:r>
              <w:rPr>
                <w:sz w:val="20"/>
                <w:szCs w:val="20"/>
              </w:rPr>
              <w:t>0.02</w:t>
            </w:r>
          </w:p>
        </w:tc>
      </w:tr>
    </w:tbl>
    <w:p w14:paraId="68206F5E">
      <w:pPr>
        <w:spacing w:before="60" w:after="240"/>
      </w:pPr>
      <w:r>
        <w:rPr>
          <w:i/>
          <w:iCs/>
          <w:sz w:val="20"/>
          <w:szCs w:val="20"/>
        </w:rPr>
        <w:t xml:space="preserve">Table 4: Correlation matrix </w:t>
      </w:r>
      <w:r>
        <w:rPr>
          <w:i/>
          <w:iCs/>
          <w:sz w:val="20"/>
          <w:szCs w:val="20"/>
          <w:lang w:val="en-US"/>
        </w:rPr>
        <w:t>-</w:t>
      </w:r>
      <w:r>
        <w:rPr>
          <w:i/>
          <w:iCs/>
          <w:sz w:val="20"/>
          <w:szCs w:val="20"/>
        </w:rPr>
        <w:t xml:space="preserve"> all values near zero indicate no meaningful relationship.</w:t>
      </w:r>
    </w:p>
    <w:p w14:paraId="6B13AB46">
      <w:pPr>
        <w:spacing w:after="160" w:line="300" w:lineRule="auto"/>
      </w:pPr>
      <w:r>
        <w:rPr>
          <w:b/>
          <w:bCs/>
        </w:rPr>
        <w:t xml:space="preserve">The story here: </w:t>
      </w:r>
      <w:r>
        <w:t>every correlation in this matrix sits be</w:t>
      </w:r>
      <w:r>
        <w:rPr>
          <w:rFonts w:hint="default"/>
          <w:lang w:val="en-US"/>
        </w:rPr>
        <w:t>tween</w:t>
      </w:r>
      <w:r>
        <w:t xml:space="preserve"> -0.03 and 0.05 </w:t>
      </w:r>
      <w:r>
        <w:rPr>
          <w:lang w:val="en-US"/>
        </w:rPr>
        <w:t>-</w:t>
      </w:r>
      <w:r>
        <w:t xml:space="preserve"> statistically indistinguishable from no relationship. Temperature and humidity, at least within the ranges recorded on our floor, are not driving our defect or breakdown patterns. This disproves the environmental-impact hypothesis raised in the BRD, which is a </w:t>
      </w:r>
      <w:r>
        <w:rPr>
          <w:rFonts w:hint="default"/>
          <w:lang w:val="en-US"/>
        </w:rPr>
        <w:t>n</w:t>
      </w:r>
      <w:r>
        <w:rPr>
          <w:lang w:val="en-US"/>
        </w:rPr>
        <w:t>e</w:t>
      </w:r>
      <w:r>
        <w:t>e</w:t>
      </w:r>
      <w:r>
        <w:rPr>
          <w:rFonts w:hint="default"/>
          <w:lang w:val="en-US"/>
        </w:rPr>
        <w:t>d</w:t>
      </w:r>
      <w:bookmarkStart w:id="0" w:name="_GoBack"/>
      <w:bookmarkEnd w:id="0"/>
      <w:r>
        <w:t xml:space="preserve">ful and cost-saving finding: </w:t>
      </w:r>
      <w:r>
        <w:rPr>
          <w:lang w:val="en-US"/>
        </w:rPr>
        <w:t>I</w:t>
      </w:r>
      <w:r>
        <w:t xml:space="preserve"> do not need to invest in tighter climate control to solve our quality or downtime problems.</w:t>
      </w:r>
    </w:p>
    <w:p w14:paraId="60DA5F81">
      <w:pPr>
        <w:pStyle w:val="3"/>
        <w:spacing w:before="280" w:after="140"/>
      </w:pPr>
      <w:r>
        <w:t>6.2 What drives energy consumption?</w:t>
      </w:r>
    </w:p>
    <w:p w14:paraId="22433B8F">
      <w:pPr>
        <w:spacing w:after="160" w:line="300" w:lineRule="auto"/>
        <w:jc w:val="left"/>
      </w:pPr>
      <w:r>
        <w:t xml:space="preserve">Energy Consumption shows almost no relationship with temperature (0.04), production hours (–0.01), units produced (0.02), or downtime (–0.01). Energy </w:t>
      </w:r>
      <w:r>
        <w:rPr>
          <w:lang w:val="en-US"/>
        </w:rPr>
        <w:t>m</w:t>
      </w:r>
      <w:r>
        <w:rPr>
          <w:rFonts w:hint="default"/>
          <w:lang w:val="en-US"/>
        </w:rPr>
        <w:t>ay</w:t>
      </w:r>
      <w:r>
        <w:t xml:space="preserve"> appears to be driven by factors outside this data</w:t>
      </w:r>
      <w:r>
        <w:rPr>
          <w:rFonts w:hint="default"/>
          <w:lang w:val="en-US"/>
        </w:rPr>
        <w:t xml:space="preserve"> </w:t>
      </w:r>
      <w:r>
        <w:t xml:space="preserve">set </w:t>
      </w:r>
      <w:r>
        <w:rPr>
          <w:lang w:val="en-US"/>
        </w:rPr>
        <w:t>-</w:t>
      </w:r>
      <w:r>
        <w:t xml:space="preserve"> most likely fixed equipment baseline draw </w:t>
      </w:r>
      <w:r>
        <w:rPr>
          <w:lang w:val="en-US"/>
        </w:rPr>
        <w:t>-</w:t>
      </w:r>
      <w:r>
        <w:t xml:space="preserve"> rather than by seasonal temperature or how hard a machine is being run.</w:t>
      </w:r>
    </w:p>
    <w:p w14:paraId="042CCAD4">
      <w:pPr>
        <w:pStyle w:val="2"/>
        <w:spacing w:before="360" w:after="180"/>
      </w:pPr>
      <w:r>
        <w:t>7. At-Risk Asset Directory</w:t>
      </w:r>
    </w:p>
    <w:p w14:paraId="19789C0A">
      <w:pPr>
        <w:spacing w:after="160" w:line="300" w:lineRule="auto"/>
        <w:jc w:val="left"/>
      </w:pPr>
      <w:r>
        <w:t>Combining each machine's downtime ratio and defect rate into a single risk view, four machines separate themselves from the rest of the fleet and are the priority list for engineering inspection.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18"/>
        <w:gridCol w:w="1450"/>
        <w:gridCol w:w="1714"/>
        <w:gridCol w:w="1450"/>
        <w:gridCol w:w="1977"/>
        <w:gridCol w:w="1451"/>
      </w:tblGrid>
      <w:tr w14:paraId="09581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18" w:type="dxa"/>
            <w:shd w:val="clear" w:color="auto" w:fill="E5E5E5"/>
            <w:tcMar>
              <w:top w:w="80" w:type="dxa"/>
              <w:left w:w="100" w:type="dxa"/>
              <w:bottom w:w="80" w:type="dxa"/>
              <w:right w:w="100" w:type="dxa"/>
            </w:tcMar>
          </w:tcPr>
          <w:p w14:paraId="33763A94">
            <w:r>
              <w:rPr>
                <w:b/>
                <w:bCs/>
                <w:sz w:val="20"/>
                <w:szCs w:val="20"/>
              </w:rPr>
              <w:t>Priority</w:t>
            </w:r>
          </w:p>
        </w:tc>
        <w:tc>
          <w:tcPr>
            <w:tcW w:w="1450" w:type="dxa"/>
            <w:shd w:val="clear" w:color="auto" w:fill="E5E5E5"/>
            <w:tcMar>
              <w:top w:w="80" w:type="dxa"/>
              <w:left w:w="100" w:type="dxa"/>
              <w:bottom w:w="80" w:type="dxa"/>
              <w:right w:w="100" w:type="dxa"/>
            </w:tcMar>
          </w:tcPr>
          <w:p w14:paraId="2CBEB6B0">
            <w:r>
              <w:rPr>
                <w:b/>
                <w:bCs/>
                <w:sz w:val="20"/>
                <w:szCs w:val="20"/>
              </w:rPr>
              <w:t>Machine ID</w:t>
            </w:r>
          </w:p>
        </w:tc>
        <w:tc>
          <w:tcPr>
            <w:tcW w:w="1714" w:type="dxa"/>
            <w:shd w:val="clear" w:color="auto" w:fill="E5E5E5"/>
            <w:tcMar>
              <w:top w:w="80" w:type="dxa"/>
              <w:left w:w="100" w:type="dxa"/>
              <w:bottom w:w="80" w:type="dxa"/>
              <w:right w:w="100" w:type="dxa"/>
            </w:tcMar>
          </w:tcPr>
          <w:p w14:paraId="591A819E">
            <w:r>
              <w:rPr>
                <w:b/>
                <w:bCs/>
                <w:sz w:val="20"/>
                <w:szCs w:val="20"/>
              </w:rPr>
              <w:t>Downtime Ratio</w:t>
            </w:r>
          </w:p>
        </w:tc>
        <w:tc>
          <w:tcPr>
            <w:tcW w:w="1450" w:type="dxa"/>
            <w:shd w:val="clear" w:color="auto" w:fill="E5E5E5"/>
            <w:tcMar>
              <w:top w:w="80" w:type="dxa"/>
              <w:left w:w="100" w:type="dxa"/>
              <w:bottom w:w="80" w:type="dxa"/>
              <w:right w:w="100" w:type="dxa"/>
            </w:tcMar>
          </w:tcPr>
          <w:p w14:paraId="1C3DB6F6">
            <w:r>
              <w:rPr>
                <w:b/>
                <w:bCs/>
                <w:sz w:val="20"/>
                <w:szCs w:val="20"/>
              </w:rPr>
              <w:t>Defect Rate</w:t>
            </w:r>
          </w:p>
        </w:tc>
        <w:tc>
          <w:tcPr>
            <w:tcW w:w="1977" w:type="dxa"/>
            <w:shd w:val="clear" w:color="auto" w:fill="E5E5E5"/>
            <w:tcMar>
              <w:top w:w="80" w:type="dxa"/>
              <w:left w:w="100" w:type="dxa"/>
              <w:bottom w:w="80" w:type="dxa"/>
              <w:right w:w="100" w:type="dxa"/>
            </w:tcMar>
          </w:tcPr>
          <w:p w14:paraId="301B212E">
            <w:r>
              <w:rPr>
                <w:b/>
                <w:bCs/>
                <w:sz w:val="20"/>
                <w:szCs w:val="20"/>
              </w:rPr>
              <w:t>Avg. Maintenance Hrs</w:t>
            </w:r>
          </w:p>
        </w:tc>
        <w:tc>
          <w:tcPr>
            <w:tcW w:w="1450" w:type="dxa"/>
            <w:shd w:val="clear" w:color="auto" w:fill="E5E5E5"/>
            <w:tcMar>
              <w:top w:w="80" w:type="dxa"/>
              <w:left w:w="100" w:type="dxa"/>
              <w:bottom w:w="80" w:type="dxa"/>
              <w:right w:w="100" w:type="dxa"/>
            </w:tcMar>
          </w:tcPr>
          <w:p w14:paraId="7935AF41">
            <w:r>
              <w:rPr>
                <w:b/>
                <w:bCs/>
                <w:sz w:val="20"/>
                <w:szCs w:val="20"/>
              </w:rPr>
              <w:t>QC Failures</w:t>
            </w:r>
          </w:p>
        </w:tc>
      </w:tr>
      <w:tr w14:paraId="62578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18" w:type="dxa"/>
            <w:tcMar>
              <w:top w:w="60" w:type="dxa"/>
              <w:left w:w="100" w:type="dxa"/>
              <w:bottom w:w="60" w:type="dxa"/>
              <w:right w:w="100" w:type="dxa"/>
            </w:tcMar>
          </w:tcPr>
          <w:p w14:paraId="52DD7FF6">
            <w:r>
              <w:rPr>
                <w:sz w:val="20"/>
                <w:szCs w:val="20"/>
              </w:rPr>
              <w:t>1</w:t>
            </w:r>
          </w:p>
        </w:tc>
        <w:tc>
          <w:tcPr>
            <w:tcW w:w="1450" w:type="dxa"/>
            <w:tcMar>
              <w:top w:w="60" w:type="dxa"/>
              <w:left w:w="100" w:type="dxa"/>
              <w:bottom w:w="60" w:type="dxa"/>
              <w:right w:w="100" w:type="dxa"/>
            </w:tcMar>
          </w:tcPr>
          <w:p w14:paraId="11CC8484">
            <w:pPr>
              <w:rPr>
                <w:rFonts w:hint="default"/>
                <w:lang w:val="en-US"/>
              </w:rPr>
            </w:pPr>
            <w:r>
              <w:rPr>
                <w:rFonts w:hint="default"/>
                <w:lang w:val="en-US"/>
              </w:rPr>
              <w:t>6</w:t>
            </w:r>
          </w:p>
        </w:tc>
        <w:tc>
          <w:tcPr>
            <w:tcW w:w="1714" w:type="dxa"/>
            <w:tcMar>
              <w:top w:w="60" w:type="dxa"/>
              <w:left w:w="100" w:type="dxa"/>
              <w:bottom w:w="60" w:type="dxa"/>
              <w:right w:w="100" w:type="dxa"/>
            </w:tcMar>
          </w:tcPr>
          <w:p w14:paraId="355374C7">
            <w:r>
              <w:rPr>
                <w:sz w:val="20"/>
                <w:szCs w:val="20"/>
              </w:rPr>
              <w:t>1</w:t>
            </w:r>
            <w:r>
              <w:rPr>
                <w:rFonts w:hint="default"/>
                <w:sz w:val="20"/>
                <w:szCs w:val="20"/>
                <w:lang w:val="en-US"/>
              </w:rPr>
              <w:t>4</w:t>
            </w:r>
            <w:r>
              <w:rPr>
                <w:sz w:val="20"/>
                <w:szCs w:val="20"/>
              </w:rPr>
              <w:t>%</w:t>
            </w:r>
          </w:p>
        </w:tc>
        <w:tc>
          <w:tcPr>
            <w:tcW w:w="1450" w:type="dxa"/>
            <w:tcMar>
              <w:top w:w="60" w:type="dxa"/>
              <w:left w:w="100" w:type="dxa"/>
              <w:bottom w:w="60" w:type="dxa"/>
              <w:right w:w="100" w:type="dxa"/>
            </w:tcMar>
          </w:tcPr>
          <w:p w14:paraId="60D45BCD">
            <w:r>
              <w:rPr>
                <w:sz w:val="20"/>
                <w:szCs w:val="20"/>
              </w:rPr>
              <w:t>4.</w:t>
            </w:r>
            <w:r>
              <w:rPr>
                <w:rFonts w:hint="default"/>
                <w:sz w:val="20"/>
                <w:szCs w:val="20"/>
                <w:lang w:val="en-US"/>
              </w:rPr>
              <w:t>11</w:t>
            </w:r>
            <w:r>
              <w:rPr>
                <w:sz w:val="20"/>
                <w:szCs w:val="20"/>
              </w:rPr>
              <w:t>%</w:t>
            </w:r>
          </w:p>
        </w:tc>
        <w:tc>
          <w:tcPr>
            <w:tcW w:w="1977" w:type="dxa"/>
            <w:tcMar>
              <w:top w:w="60" w:type="dxa"/>
              <w:left w:w="100" w:type="dxa"/>
              <w:bottom w:w="60" w:type="dxa"/>
              <w:right w:w="100" w:type="dxa"/>
            </w:tcMar>
          </w:tcPr>
          <w:p w14:paraId="320B916F">
            <w:pPr>
              <w:rPr>
                <w:rFonts w:hint="default"/>
                <w:lang w:val="en-US"/>
              </w:rPr>
            </w:pPr>
            <w:r>
              <w:rPr>
                <w:sz w:val="20"/>
                <w:szCs w:val="20"/>
              </w:rPr>
              <w:t>2.</w:t>
            </w:r>
            <w:r>
              <w:rPr>
                <w:rFonts w:hint="default"/>
                <w:sz w:val="20"/>
                <w:szCs w:val="20"/>
                <w:lang w:val="en-US"/>
              </w:rPr>
              <w:t>65</w:t>
            </w:r>
          </w:p>
        </w:tc>
        <w:tc>
          <w:tcPr>
            <w:tcW w:w="1450" w:type="dxa"/>
            <w:tcMar>
              <w:top w:w="60" w:type="dxa"/>
              <w:left w:w="100" w:type="dxa"/>
              <w:bottom w:w="60" w:type="dxa"/>
              <w:right w:w="100" w:type="dxa"/>
            </w:tcMar>
          </w:tcPr>
          <w:p w14:paraId="2317B44A">
            <w:pPr>
              <w:rPr>
                <w:rFonts w:hint="default"/>
                <w:lang w:val="en-US"/>
              </w:rPr>
            </w:pPr>
            <w:r>
              <w:rPr>
                <w:sz w:val="20"/>
                <w:szCs w:val="20"/>
              </w:rPr>
              <w:t>1</w:t>
            </w:r>
            <w:r>
              <w:rPr>
                <w:rFonts w:hint="default"/>
                <w:sz w:val="20"/>
                <w:szCs w:val="20"/>
                <w:lang w:val="en-US"/>
              </w:rPr>
              <w:t>29</w:t>
            </w:r>
          </w:p>
        </w:tc>
      </w:tr>
      <w:tr w14:paraId="6DD36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18" w:type="dxa"/>
            <w:tcMar>
              <w:top w:w="60" w:type="dxa"/>
              <w:left w:w="100" w:type="dxa"/>
              <w:bottom w:w="60" w:type="dxa"/>
              <w:right w:w="100" w:type="dxa"/>
            </w:tcMar>
          </w:tcPr>
          <w:p w14:paraId="78B8609C">
            <w:r>
              <w:rPr>
                <w:sz w:val="20"/>
                <w:szCs w:val="20"/>
              </w:rPr>
              <w:t>2</w:t>
            </w:r>
          </w:p>
        </w:tc>
        <w:tc>
          <w:tcPr>
            <w:tcW w:w="1450" w:type="dxa"/>
            <w:tcMar>
              <w:top w:w="60" w:type="dxa"/>
              <w:left w:w="100" w:type="dxa"/>
              <w:bottom w:w="60" w:type="dxa"/>
              <w:right w:w="100" w:type="dxa"/>
            </w:tcMar>
          </w:tcPr>
          <w:p w14:paraId="599D27E0">
            <w:pPr>
              <w:rPr>
                <w:rFonts w:hint="default"/>
                <w:lang w:val="en-US"/>
              </w:rPr>
            </w:pPr>
            <w:r>
              <w:rPr>
                <w:rFonts w:hint="default"/>
                <w:lang w:val="en-US"/>
              </w:rPr>
              <w:t>9</w:t>
            </w:r>
          </w:p>
        </w:tc>
        <w:tc>
          <w:tcPr>
            <w:tcW w:w="1714" w:type="dxa"/>
            <w:tcMar>
              <w:top w:w="60" w:type="dxa"/>
              <w:left w:w="100" w:type="dxa"/>
              <w:bottom w:w="60" w:type="dxa"/>
              <w:right w:w="100" w:type="dxa"/>
            </w:tcMar>
          </w:tcPr>
          <w:p w14:paraId="4F2D6188">
            <w:r>
              <w:rPr>
                <w:sz w:val="20"/>
                <w:szCs w:val="20"/>
              </w:rPr>
              <w:t>13%</w:t>
            </w:r>
          </w:p>
        </w:tc>
        <w:tc>
          <w:tcPr>
            <w:tcW w:w="1450" w:type="dxa"/>
            <w:tcMar>
              <w:top w:w="60" w:type="dxa"/>
              <w:left w:w="100" w:type="dxa"/>
              <w:bottom w:w="60" w:type="dxa"/>
              <w:right w:w="100" w:type="dxa"/>
            </w:tcMar>
          </w:tcPr>
          <w:p w14:paraId="7948D253">
            <w:r>
              <w:rPr>
                <w:rFonts w:hint="default"/>
                <w:sz w:val="20"/>
                <w:szCs w:val="20"/>
                <w:lang w:val="en-US"/>
              </w:rPr>
              <w:t>4.36</w:t>
            </w:r>
            <w:r>
              <w:rPr>
                <w:sz w:val="20"/>
                <w:szCs w:val="20"/>
              </w:rPr>
              <w:t>%</w:t>
            </w:r>
          </w:p>
        </w:tc>
        <w:tc>
          <w:tcPr>
            <w:tcW w:w="1977" w:type="dxa"/>
            <w:tcMar>
              <w:top w:w="60" w:type="dxa"/>
              <w:left w:w="100" w:type="dxa"/>
              <w:bottom w:w="60" w:type="dxa"/>
              <w:right w:w="100" w:type="dxa"/>
            </w:tcMar>
          </w:tcPr>
          <w:p w14:paraId="7A1A54FF">
            <w:r>
              <w:rPr>
                <w:sz w:val="20"/>
                <w:szCs w:val="20"/>
              </w:rPr>
              <w:t>2.54</w:t>
            </w:r>
          </w:p>
        </w:tc>
        <w:tc>
          <w:tcPr>
            <w:tcW w:w="1450" w:type="dxa"/>
            <w:tcMar>
              <w:top w:w="60" w:type="dxa"/>
              <w:left w:w="100" w:type="dxa"/>
              <w:bottom w:w="60" w:type="dxa"/>
              <w:right w:w="100" w:type="dxa"/>
            </w:tcMar>
          </w:tcPr>
          <w:p w14:paraId="5913C830">
            <w:r>
              <w:rPr>
                <w:sz w:val="20"/>
                <w:szCs w:val="20"/>
              </w:rPr>
              <w:t>123</w:t>
            </w:r>
          </w:p>
        </w:tc>
      </w:tr>
      <w:tr w14:paraId="7BE4C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18" w:type="dxa"/>
            <w:tcMar>
              <w:top w:w="60" w:type="dxa"/>
              <w:left w:w="100" w:type="dxa"/>
              <w:bottom w:w="60" w:type="dxa"/>
              <w:right w:w="100" w:type="dxa"/>
            </w:tcMar>
          </w:tcPr>
          <w:p w14:paraId="5F7F8CE1">
            <w:r>
              <w:rPr>
                <w:sz w:val="20"/>
                <w:szCs w:val="20"/>
              </w:rPr>
              <w:t>3</w:t>
            </w:r>
          </w:p>
        </w:tc>
        <w:tc>
          <w:tcPr>
            <w:tcW w:w="1450" w:type="dxa"/>
            <w:tcMar>
              <w:top w:w="60" w:type="dxa"/>
              <w:left w:w="100" w:type="dxa"/>
              <w:bottom w:w="60" w:type="dxa"/>
              <w:right w:w="100" w:type="dxa"/>
            </w:tcMar>
          </w:tcPr>
          <w:p w14:paraId="65C5468D">
            <w:pPr>
              <w:rPr>
                <w:rFonts w:hint="default"/>
                <w:lang w:val="en-US"/>
              </w:rPr>
            </w:pPr>
            <w:r>
              <w:rPr>
                <w:rFonts w:hint="default"/>
                <w:lang w:val="en-US"/>
              </w:rPr>
              <w:t>18</w:t>
            </w:r>
          </w:p>
        </w:tc>
        <w:tc>
          <w:tcPr>
            <w:tcW w:w="1714" w:type="dxa"/>
            <w:tcMar>
              <w:top w:w="60" w:type="dxa"/>
              <w:left w:w="100" w:type="dxa"/>
              <w:bottom w:w="60" w:type="dxa"/>
              <w:right w:w="100" w:type="dxa"/>
            </w:tcMar>
          </w:tcPr>
          <w:p w14:paraId="746E1BEC">
            <w:r>
              <w:rPr>
                <w:sz w:val="20"/>
                <w:szCs w:val="20"/>
              </w:rPr>
              <w:t>1</w:t>
            </w:r>
            <w:r>
              <w:rPr>
                <w:rFonts w:hint="default"/>
                <w:sz w:val="20"/>
                <w:szCs w:val="20"/>
                <w:lang w:val="en-US"/>
              </w:rPr>
              <w:t>2</w:t>
            </w:r>
            <w:r>
              <w:rPr>
                <w:sz w:val="20"/>
                <w:szCs w:val="20"/>
              </w:rPr>
              <w:t>%</w:t>
            </w:r>
          </w:p>
        </w:tc>
        <w:tc>
          <w:tcPr>
            <w:tcW w:w="1450" w:type="dxa"/>
            <w:tcMar>
              <w:top w:w="60" w:type="dxa"/>
              <w:left w:w="100" w:type="dxa"/>
              <w:bottom w:w="60" w:type="dxa"/>
              <w:right w:w="100" w:type="dxa"/>
            </w:tcMar>
          </w:tcPr>
          <w:p w14:paraId="74D89C02">
            <w:r>
              <w:rPr>
                <w:rFonts w:hint="default"/>
                <w:sz w:val="20"/>
                <w:szCs w:val="20"/>
                <w:lang w:val="en-US"/>
              </w:rPr>
              <w:t>4</w:t>
            </w:r>
            <w:r>
              <w:rPr>
                <w:sz w:val="20"/>
                <w:szCs w:val="20"/>
              </w:rPr>
              <w:t>.5</w:t>
            </w:r>
            <w:r>
              <w:rPr>
                <w:rFonts w:hint="default"/>
                <w:sz w:val="20"/>
                <w:szCs w:val="20"/>
                <w:lang w:val="en-US"/>
              </w:rPr>
              <w:t>2</w:t>
            </w:r>
            <w:r>
              <w:rPr>
                <w:sz w:val="20"/>
                <w:szCs w:val="20"/>
              </w:rPr>
              <w:t>%</w:t>
            </w:r>
          </w:p>
        </w:tc>
        <w:tc>
          <w:tcPr>
            <w:tcW w:w="1977" w:type="dxa"/>
            <w:tcMar>
              <w:top w:w="60" w:type="dxa"/>
              <w:left w:w="100" w:type="dxa"/>
              <w:bottom w:w="60" w:type="dxa"/>
              <w:right w:w="100" w:type="dxa"/>
            </w:tcMar>
          </w:tcPr>
          <w:p w14:paraId="45CF136A">
            <w:pPr>
              <w:rPr>
                <w:rFonts w:hint="default"/>
                <w:lang w:val="en-US"/>
              </w:rPr>
            </w:pPr>
            <w:r>
              <w:rPr>
                <w:sz w:val="20"/>
                <w:szCs w:val="20"/>
              </w:rPr>
              <w:t>2.</w:t>
            </w:r>
            <w:r>
              <w:rPr>
                <w:rFonts w:hint="default"/>
                <w:sz w:val="20"/>
                <w:szCs w:val="20"/>
                <w:lang w:val="en-US"/>
              </w:rPr>
              <w:t>75</w:t>
            </w:r>
          </w:p>
        </w:tc>
        <w:tc>
          <w:tcPr>
            <w:tcW w:w="1450" w:type="dxa"/>
            <w:tcMar>
              <w:top w:w="60" w:type="dxa"/>
              <w:left w:w="100" w:type="dxa"/>
              <w:bottom w:w="60" w:type="dxa"/>
              <w:right w:w="100" w:type="dxa"/>
            </w:tcMar>
          </w:tcPr>
          <w:p w14:paraId="644AFE3A">
            <w:pPr>
              <w:rPr>
                <w:rFonts w:hint="default"/>
                <w:lang w:val="en-US"/>
              </w:rPr>
            </w:pPr>
            <w:r>
              <w:rPr>
                <w:sz w:val="20"/>
                <w:szCs w:val="20"/>
              </w:rPr>
              <w:t>1</w:t>
            </w:r>
            <w:r>
              <w:rPr>
                <w:rFonts w:hint="default"/>
                <w:sz w:val="20"/>
                <w:szCs w:val="20"/>
                <w:lang w:val="en-US"/>
              </w:rPr>
              <w:t>33</w:t>
            </w:r>
          </w:p>
        </w:tc>
      </w:tr>
      <w:tr w14:paraId="7EC74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18" w:type="dxa"/>
            <w:tcMar>
              <w:top w:w="60" w:type="dxa"/>
              <w:left w:w="100" w:type="dxa"/>
              <w:bottom w:w="60" w:type="dxa"/>
              <w:right w:w="100" w:type="dxa"/>
            </w:tcMar>
          </w:tcPr>
          <w:p w14:paraId="5792FD3C">
            <w:pPr>
              <w:rPr>
                <w:rFonts w:hint="default"/>
                <w:sz w:val="20"/>
                <w:szCs w:val="20"/>
                <w:lang w:val="en-US"/>
              </w:rPr>
            </w:pPr>
            <w:r>
              <w:rPr>
                <w:rFonts w:hint="default"/>
                <w:sz w:val="20"/>
                <w:szCs w:val="20"/>
                <w:lang w:val="en-US"/>
              </w:rPr>
              <w:t>4</w:t>
            </w:r>
          </w:p>
        </w:tc>
        <w:tc>
          <w:tcPr>
            <w:tcW w:w="1450" w:type="dxa"/>
            <w:tcMar>
              <w:top w:w="60" w:type="dxa"/>
              <w:left w:w="100" w:type="dxa"/>
              <w:bottom w:w="60" w:type="dxa"/>
              <w:right w:w="100" w:type="dxa"/>
            </w:tcMar>
          </w:tcPr>
          <w:p w14:paraId="21E9C696">
            <w:pPr>
              <w:rPr>
                <w:rFonts w:hint="default"/>
                <w:lang w:val="en-US"/>
              </w:rPr>
            </w:pPr>
            <w:r>
              <w:rPr>
                <w:rFonts w:hint="default"/>
                <w:lang w:val="en-US"/>
              </w:rPr>
              <w:t>11</w:t>
            </w:r>
          </w:p>
        </w:tc>
        <w:tc>
          <w:tcPr>
            <w:tcW w:w="1714" w:type="dxa"/>
            <w:tcMar>
              <w:top w:w="60" w:type="dxa"/>
              <w:left w:w="100" w:type="dxa"/>
              <w:bottom w:w="60" w:type="dxa"/>
              <w:right w:w="100" w:type="dxa"/>
            </w:tcMar>
          </w:tcPr>
          <w:p w14:paraId="474A2E1A">
            <w:pPr>
              <w:rPr>
                <w:rFonts w:hint="default"/>
                <w:sz w:val="20"/>
                <w:szCs w:val="20"/>
                <w:lang w:val="en-US"/>
              </w:rPr>
            </w:pPr>
            <w:r>
              <w:rPr>
                <w:rFonts w:hint="default"/>
                <w:sz w:val="20"/>
                <w:szCs w:val="20"/>
                <w:lang w:val="en-US"/>
              </w:rPr>
              <w:t>14%</w:t>
            </w:r>
          </w:p>
        </w:tc>
        <w:tc>
          <w:tcPr>
            <w:tcW w:w="1450" w:type="dxa"/>
            <w:tcMar>
              <w:top w:w="60" w:type="dxa"/>
              <w:left w:w="100" w:type="dxa"/>
              <w:bottom w:w="60" w:type="dxa"/>
              <w:right w:w="100" w:type="dxa"/>
            </w:tcMar>
          </w:tcPr>
          <w:p w14:paraId="4E362536">
            <w:pPr>
              <w:rPr>
                <w:rFonts w:hint="default"/>
                <w:sz w:val="20"/>
                <w:szCs w:val="20"/>
                <w:lang w:val="en-US"/>
              </w:rPr>
            </w:pPr>
            <w:r>
              <w:rPr>
                <w:rFonts w:hint="default"/>
                <w:sz w:val="20"/>
                <w:szCs w:val="20"/>
                <w:lang w:val="en-US"/>
              </w:rPr>
              <w:t>4.04%</w:t>
            </w:r>
          </w:p>
        </w:tc>
        <w:tc>
          <w:tcPr>
            <w:tcW w:w="1977" w:type="dxa"/>
            <w:tcMar>
              <w:top w:w="60" w:type="dxa"/>
              <w:left w:w="100" w:type="dxa"/>
              <w:bottom w:w="60" w:type="dxa"/>
              <w:right w:w="100" w:type="dxa"/>
            </w:tcMar>
          </w:tcPr>
          <w:p w14:paraId="622EEF28">
            <w:pPr>
              <w:rPr>
                <w:rFonts w:hint="default"/>
                <w:sz w:val="20"/>
                <w:szCs w:val="20"/>
                <w:lang w:val="en-US"/>
              </w:rPr>
            </w:pPr>
            <w:r>
              <w:rPr>
                <w:rFonts w:hint="default"/>
                <w:sz w:val="20"/>
                <w:szCs w:val="20"/>
                <w:lang w:val="en-US"/>
              </w:rPr>
              <w:t>2.48</w:t>
            </w:r>
          </w:p>
        </w:tc>
        <w:tc>
          <w:tcPr>
            <w:tcW w:w="1450" w:type="dxa"/>
            <w:tcMar>
              <w:top w:w="60" w:type="dxa"/>
              <w:left w:w="100" w:type="dxa"/>
              <w:bottom w:w="60" w:type="dxa"/>
              <w:right w:w="100" w:type="dxa"/>
            </w:tcMar>
          </w:tcPr>
          <w:p w14:paraId="1A41A298">
            <w:pPr>
              <w:rPr>
                <w:rFonts w:hint="default"/>
                <w:sz w:val="20"/>
                <w:szCs w:val="20"/>
                <w:lang w:val="en-US"/>
              </w:rPr>
            </w:pPr>
            <w:r>
              <w:rPr>
                <w:rFonts w:hint="default"/>
                <w:sz w:val="20"/>
                <w:szCs w:val="20"/>
                <w:lang w:val="en-US"/>
              </w:rPr>
              <w:t>171</w:t>
            </w:r>
          </w:p>
        </w:tc>
      </w:tr>
    </w:tbl>
    <w:p w14:paraId="68B24EB6">
      <w:pPr>
        <w:spacing w:before="60" w:after="240"/>
      </w:pPr>
      <w:r>
        <w:rPr>
          <w:i/>
          <w:iCs/>
          <w:sz w:val="20"/>
          <w:szCs w:val="20"/>
        </w:rPr>
        <w:t>Table 5: Top 3 machines by combined downtime and defect risk, as requested in the BRD deliverables.</w:t>
      </w:r>
    </w:p>
    <w:p w14:paraId="5268E62F">
      <w:pPr>
        <w:spacing w:after="160" w:line="300" w:lineRule="auto"/>
        <w:jc w:val="left"/>
      </w:pPr>
      <w:r>
        <w:t>Machine 11 is a close fourth and worth including in the same inspection cycle. All four machines show the pattern described in Section 3: their maintenance hours are in line with the fleet average, confirming that their problem is asset condition, not lack of attention.</w:t>
      </w:r>
    </w:p>
    <w:p w14:paraId="666D55DE">
      <w:pPr>
        <w:pStyle w:val="2"/>
        <w:spacing w:before="360" w:after="180"/>
      </w:pPr>
      <w:r>
        <w:t>8. Cost Picture</w:t>
      </w:r>
    </w:p>
    <w:p w14:paraId="07B174A9">
      <w:pPr>
        <w:spacing w:after="160" w:line="300" w:lineRule="auto"/>
        <w:jc w:val="left"/>
      </w:pPr>
      <w:r>
        <w:t>Estimated cost per unit (material p</w:t>
      </w:r>
      <w:r>
        <w:rPr>
          <w:rFonts w:hint="default"/>
          <w:lang w:val="en-US"/>
        </w:rPr>
        <w:t>lus</w:t>
      </w:r>
      <w:r>
        <w:t xml:space="preserve"> labour) ranges narrowly from $31.83 for Textiles to $33.95 for Furniture, and from $32.66 for Swing shift to $32.94 for Night shift. As with quality and scrap, cost is evenly spread rather than concentrated in one line or shift </w:t>
      </w:r>
      <w:r>
        <w:rPr>
          <w:lang w:val="en-US"/>
        </w:rPr>
        <w:t>-</w:t>
      </w:r>
      <w:r>
        <w:t xml:space="preserve"> the plant does not have a single expensive outlier to target, and the savings opportunity lies in reducing downtime and rework hours across the board rather than reallocating shifts or product mix.</w:t>
      </w:r>
    </w:p>
    <w:p w14:paraId="4A8AF206">
      <w:pPr>
        <w:pStyle w:val="2"/>
        <w:spacing w:before="360" w:after="180"/>
      </w:pPr>
      <w:r>
        <w:t xml:space="preserve">9. Key </w:t>
      </w:r>
      <w:r>
        <w:rPr>
          <w:lang w:val="en-US"/>
        </w:rPr>
        <w:t>Business</w:t>
      </w:r>
      <w:r>
        <w:t xml:space="preserve"> Insights</w:t>
      </w:r>
    </w:p>
    <w:p w14:paraId="420A46ED">
      <w:pPr>
        <w:pStyle w:val="16"/>
        <w:numPr>
          <w:ilvl w:val="0"/>
          <w:numId w:val="1"/>
        </w:numPr>
        <w:spacing w:after="100" w:line="280" w:lineRule="auto"/>
      </w:pPr>
      <w:r>
        <w:t xml:space="preserve">Losses are systemic, not localized. Downtime, defects, scrap, and cost per unit all vary within a narrow band across shifts, product types, and environmental conditions. There is no single shift, product, or </w:t>
      </w:r>
      <w:r>
        <w:rPr>
          <w:lang w:val="en-US"/>
        </w:rPr>
        <w:t>I</w:t>
      </w:r>
      <w:r>
        <w:t>a</w:t>
      </w:r>
      <w:r>
        <w:rPr>
          <w:rFonts w:hint="default"/>
          <w:lang w:val="en-US"/>
        </w:rPr>
        <w:t>rge</w:t>
      </w:r>
      <w:r>
        <w:t xml:space="preserve"> pattern to blame.</w:t>
      </w:r>
    </w:p>
    <w:p w14:paraId="68E749C3">
      <w:pPr>
        <w:pStyle w:val="16"/>
        <w:numPr>
          <w:ilvl w:val="0"/>
          <w:numId w:val="1"/>
        </w:numPr>
        <w:spacing w:after="100" w:line="280" w:lineRule="auto"/>
      </w:pPr>
      <w:r>
        <w:t xml:space="preserve">A small group of machines is the real story. Machines 18, 9, 6, and 11 consistently run 13–14% downtime against a 12.2% fleet average </w:t>
      </w:r>
      <w:r>
        <w:rPr>
          <w:lang w:val="en-US"/>
        </w:rPr>
        <w:t>-</w:t>
      </w:r>
      <w:r>
        <w:t xml:space="preserve"> a real, addressable gap.</w:t>
      </w:r>
    </w:p>
    <w:p w14:paraId="3F29C033">
      <w:pPr>
        <w:pStyle w:val="16"/>
        <w:numPr>
          <w:ilvl w:val="0"/>
          <w:numId w:val="1"/>
        </w:numPr>
        <w:spacing w:after="100" w:line="280" w:lineRule="auto"/>
      </w:pPr>
      <w:r>
        <w:t>Maintenance hours are not preventing breakdowns. Downtime does not fall as maintenance hours rise, suggesting maintenance is scheduled on a fixed calendar rather than targeted at the machines that need it.</w:t>
      </w:r>
    </w:p>
    <w:p w14:paraId="1441F23F">
      <w:pPr>
        <w:pStyle w:val="16"/>
        <w:numPr>
          <w:ilvl w:val="0"/>
          <w:numId w:val="1"/>
        </w:numPr>
        <w:spacing w:after="100" w:line="280" w:lineRule="auto"/>
      </w:pPr>
      <w:r>
        <w:t>More operators does not mean more output. Output per hour is flat regardless of headcount, pointing to a bottleneck elsewhere in the line rather than a labour shortage.</w:t>
      </w:r>
    </w:p>
    <w:p w14:paraId="37A8BF67">
      <w:pPr>
        <w:pStyle w:val="16"/>
        <w:numPr>
          <w:ilvl w:val="0"/>
          <w:numId w:val="1"/>
        </w:numPr>
        <w:spacing w:after="100" w:line="280" w:lineRule="auto"/>
      </w:pPr>
      <w:r>
        <w:t xml:space="preserve">Temperature and humidity are cleared. The environmental-impact hypothesis in the BRD is not supported by the data </w:t>
      </w:r>
      <w:r>
        <w:rPr>
          <w:lang w:val="en-US"/>
        </w:rPr>
        <w:t>-</w:t>
      </w:r>
      <w:r>
        <w:t xml:space="preserve"> climate control is not a lever worth investing in for this problem.</w:t>
      </w:r>
    </w:p>
    <w:p w14:paraId="5C7EA98E">
      <w:pPr>
        <w:pStyle w:val="16"/>
        <w:numPr>
          <w:ilvl w:val="0"/>
          <w:numId w:val="1"/>
        </w:numPr>
        <w:spacing w:after="100" w:line="280" w:lineRule="auto"/>
      </w:pPr>
      <w:r>
        <w:t>Rework is not a premium-pay problem. Rework hours are unrelated to labour cost tier, so the fix is reducing rework itself, not shift scheduling.</w:t>
      </w:r>
    </w:p>
    <w:p w14:paraId="23BD6510">
      <w:pPr>
        <w:pStyle w:val="2"/>
        <w:spacing w:before="360" w:after="180"/>
      </w:pPr>
      <w:r>
        <w:t>10. Recommendations</w:t>
      </w:r>
    </w:p>
    <w:p w14:paraId="62DDF002">
      <w:pPr>
        <w:pStyle w:val="4"/>
        <w:spacing w:before="200" w:after="100"/>
      </w:pPr>
      <w:r>
        <w:t>Immediate (0–3 months)</w:t>
      </w:r>
    </w:p>
    <w:p w14:paraId="3E6308FF">
      <w:pPr>
        <w:pStyle w:val="16"/>
        <w:numPr>
          <w:ilvl w:val="0"/>
          <w:numId w:val="1"/>
        </w:numPr>
        <w:spacing w:after="100" w:line="280" w:lineRule="auto"/>
      </w:pPr>
      <w:r>
        <w:t xml:space="preserve">Send Machines 18, 9, 6, and 11 for urgent engineering inspection; treat them as the plant's top downtime and defect risk until </w:t>
      </w:r>
      <w:r>
        <w:rPr>
          <w:rFonts w:hint="default"/>
          <w:lang w:val="en-US"/>
        </w:rPr>
        <w:t>find the root cause</w:t>
      </w:r>
      <w:r>
        <w:t>.</w:t>
      </w:r>
    </w:p>
    <w:p w14:paraId="4B99437B">
      <w:pPr>
        <w:pStyle w:val="16"/>
        <w:numPr>
          <w:ilvl w:val="0"/>
          <w:numId w:val="1"/>
        </w:numPr>
        <w:spacing w:after="100" w:line="280" w:lineRule="auto"/>
      </w:pPr>
      <w:r>
        <w:t>Audit the current maintenance schedule and shift it from fixed-interval to condition-based servicing, prioritized on the four at-risk machines first.</w:t>
      </w:r>
    </w:p>
    <w:p w14:paraId="13FC1CE5">
      <w:pPr>
        <w:pStyle w:val="4"/>
        <w:spacing w:before="200" w:after="100"/>
      </w:pPr>
      <w:r>
        <w:t>Near-term (3–6 months)</w:t>
      </w:r>
    </w:p>
    <w:p w14:paraId="325C0C5F">
      <w:pPr>
        <w:pStyle w:val="16"/>
        <w:numPr>
          <w:ilvl w:val="0"/>
          <w:numId w:val="1"/>
        </w:numPr>
        <w:spacing w:after="100" w:line="280" w:lineRule="auto"/>
      </w:pPr>
      <w:r>
        <w:t>Review staffing levels line-by-line against actual throughput; since extra operators are not lifting output, reallocate headcount to lines with a genuine capacity constraint.</w:t>
      </w:r>
    </w:p>
    <w:p w14:paraId="551381BB">
      <w:pPr>
        <w:pStyle w:val="16"/>
        <w:numPr>
          <w:ilvl w:val="0"/>
          <w:numId w:val="1"/>
        </w:numPr>
        <w:spacing w:after="100" w:line="280" w:lineRule="auto"/>
      </w:pPr>
      <w:r>
        <w:t xml:space="preserve">Investigate the drivers of rework hours directly (operator training, machine calibration, material quality) rather than labour cost, since cost tier is not the </w:t>
      </w:r>
      <w:r>
        <w:rPr>
          <w:lang w:val="en-US"/>
        </w:rPr>
        <w:t>concern</w:t>
      </w:r>
      <w:r>
        <w:t>.</w:t>
      </w:r>
    </w:p>
    <w:p w14:paraId="36B7E598">
      <w:pPr>
        <w:pStyle w:val="4"/>
        <w:spacing w:before="200" w:after="100"/>
      </w:pPr>
      <w:r>
        <w:t>Ongoing</w:t>
      </w:r>
    </w:p>
    <w:p w14:paraId="623F774B">
      <w:pPr>
        <w:pStyle w:val="16"/>
        <w:numPr>
          <w:ilvl w:val="0"/>
          <w:numId w:val="1"/>
        </w:numPr>
        <w:spacing w:after="100" w:line="280" w:lineRule="auto"/>
      </w:pPr>
      <w:r>
        <w:rPr>
          <w:rFonts w:hint="default"/>
          <w:lang w:val="en-US"/>
        </w:rPr>
        <w:t>Prioritize</w:t>
      </w:r>
      <w:r>
        <w:t xml:space="preserve"> climate-control investment as a quality or downtime fix; the correlation evidence does not support it.</w:t>
      </w:r>
    </w:p>
    <w:p w14:paraId="5DA78173">
      <w:pPr>
        <w:pStyle w:val="16"/>
        <w:numPr>
          <w:ilvl w:val="0"/>
          <w:numId w:val="1"/>
        </w:numPr>
        <w:spacing w:after="100" w:line="280" w:lineRule="auto"/>
      </w:pPr>
      <w:r>
        <w:t>Build a rolling machine-health scorecard (downtime ratio, defect rate, maintenance hours) so machines drifting toward the at-risk group are flagged before they reach it.</w:t>
      </w:r>
    </w:p>
    <w:p w14:paraId="04B65C43">
      <w:pPr>
        <w:pStyle w:val="16"/>
        <w:numPr>
          <w:ilvl w:val="0"/>
          <w:numId w:val="1"/>
        </w:numPr>
        <w:spacing w:after="100" w:line="280" w:lineRule="auto"/>
      </w:pPr>
      <w:r>
        <w:t>Re-run this analysis quarterly to confirm whether the at-risk machine list is shrinking after inspections and whether any new machines are drifting into that group.</w:t>
      </w:r>
    </w:p>
    <w:p w14:paraId="4CD80789">
      <w:pPr>
        <w:pStyle w:val="2"/>
        <w:spacing w:before="360" w:after="180"/>
      </w:pPr>
      <w:r>
        <w:t>11. Closing Note</w:t>
      </w:r>
    </w:p>
    <w:p w14:paraId="17AEBD51">
      <w:pPr>
        <w:spacing w:after="160" w:line="300" w:lineRule="auto"/>
        <w:jc w:val="left"/>
      </w:pPr>
      <w:r>
        <w:t xml:space="preserve">The plant is not fighting one big fire </w:t>
      </w:r>
      <w:r>
        <w:rPr>
          <w:lang w:val="en-US"/>
        </w:rPr>
        <w:t>-</w:t>
      </w:r>
      <w:r>
        <w:t xml:space="preserve"> it is managing a lot of small, evenly distributed friction, a handful of specific machines that need attention now. That is a more manageable problem than a single root ca</w:t>
      </w:r>
      <w:r>
        <w:rPr>
          <w:rFonts w:hint="default"/>
          <w:lang w:val="en-US"/>
        </w:rPr>
        <w:t>use</w:t>
      </w:r>
      <w:r>
        <w:t xml:space="preserve"> would be, but it means the fix is operational discipline (targeted maintenance, right-sized staffing, reduced rework) rather than a single policy change like reshuffling shifts or controlling the climate.</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20" w:hanging="260"/>
      </w:pPr>
    </w:lvl>
    <w:lvl w:ilvl="1" w:tentative="0">
      <w:start w:val="1"/>
      <w:numFmt w:val="bullet"/>
      <w:lvlText w:val="–"/>
      <w:lvlJc w:val="left"/>
      <w:pPr>
        <w:ind w:left="84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0D0A09F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Pages>
  <Words>522</Words>
  <Characters>2727</Characters>
  <TotalTime>122</TotalTime>
  <ScaleCrop>false</ScaleCrop>
  <LinksUpToDate>false</LinksUpToDate>
  <CharactersWithSpaces>3219</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2026-07-07T11:00:00Z</dcterms:created>
  <dc:creator>Un-named</dc:creator>
  <cp:lastModifiedBy>Shubham Ghosh</cp:lastModifiedBy>
  <dcterms:modified xsi:type="dcterms:W3CDTF">2026-07-09T04:15:26Z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eyJoZGlkIjoiYzBhMjUzZjZiMDZkNDUwZGNkNjI4ZTU3MDkzOGNjMjQiLCJ1c2VySWQiOiI1NjczNjI1MTgyODcifQ==</vt:lpwstr>
  </property>
  <property fmtid="{D5CDD505-2E9C-101B-9397-08002B2CF9AE}" pid="3" name="KSOProductBuildVer">
    <vt:lpwstr>1033-12.1.0.26880</vt:lpwstr>
  </property>
  <property fmtid="{D5CDD505-2E9C-101B-9397-08002B2CF9AE}" pid="4" name="ICV">
    <vt:lpwstr>A3158258D8CB4876A9162F33CD3E64BF_12</vt:lpwstr>
  </property>
</Properties>
</file>