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217DA59">
      <w:pPr>
        <w:pStyle w:val="15"/>
        <w:spacing w:after="80"/>
      </w:pPr>
      <w:r>
        <w:t>Indian Equities Portfolio Review</w:t>
      </w:r>
    </w:p>
    <w:p w14:paraId="6A9E745A">
      <w:pPr>
        <w:spacing w:after="240"/>
      </w:pPr>
      <w:r>
        <w:rPr>
          <w:i/>
          <w:iCs/>
          <w:color w:val="555555"/>
          <w:sz w:val="22"/>
          <w:szCs w:val="22"/>
        </w:rPr>
        <w:t>A performance and risk analysis of 13 NSE/BSE-listed stocks, December 2014 – July 2026</w:t>
      </w:r>
    </w:p>
    <w:p w14:paraId="1FBF95F7">
      <w:pPr>
        <w:pBdr>
          <w:bottom w:val="single" w:color="AAAAAA" w:sz="6" w:space="0"/>
        </w:pBdr>
        <w:spacing w:after="200"/>
      </w:pPr>
    </w:p>
    <w:p w14:paraId="2B884D45">
      <w:pPr>
        <w:pStyle w:val="2"/>
        <w:spacing w:before="320" w:after="160"/>
      </w:pPr>
      <w:r>
        <w:t>1. What this report is about</w:t>
      </w:r>
    </w:p>
    <w:p w14:paraId="4AC1A09D">
      <w:pPr>
        <w:spacing w:after="160"/>
      </w:pPr>
      <w:r>
        <w:rPr>
          <w:b w:val="0"/>
          <w:bCs w:val="0"/>
          <w:i w:val="0"/>
          <w:iCs w:val="0"/>
        </w:rPr>
        <w:t>This report reviews eleven and a half years of daily trading data for 13 Indian stocks spanning four sectors: IT services (TCS, Infosys, Wipro), Banking (SBI, HDFC Bank, ICICI Bank, Axis Bank, Bank of Baroda), Auto (Maruti Suzuki, Hero MotoCorp, Honda Po</w:t>
      </w:r>
      <w:r>
        <w:rPr>
          <w:b w:val="0"/>
          <w:bCs w:val="0"/>
          <w:i w:val="0"/>
          <w:iCs w:val="0"/>
          <w:lang w:val="en-US"/>
        </w:rPr>
        <w:t>I</w:t>
      </w:r>
      <w:r>
        <w:rPr>
          <w:b w:val="0"/>
          <w:bCs w:val="0"/>
          <w:i w:val="0"/>
          <w:iCs w:val="0"/>
        </w:rPr>
        <w:t>r), and Reliance Industries as a standalone conglomerate. One stock, Tata Motors CV (TMCV), only entered the data</w:t>
      </w:r>
      <w:r>
        <w:rPr>
          <w:rFonts w:hint="default"/>
          <w:b w:val="0"/>
          <w:bCs w:val="0"/>
          <w:i w:val="0"/>
          <w:iCs w:val="0"/>
          <w:lang w:val="en-US"/>
        </w:rPr>
        <w:t xml:space="preserve"> </w:t>
      </w:r>
      <w:r>
        <w:rPr>
          <w:b w:val="0"/>
          <w:bCs w:val="0"/>
          <w:i w:val="0"/>
          <w:iCs w:val="0"/>
        </w:rPr>
        <w:t>set in November 2025 following its demerger listing, so it is treated separately from the long-run comparison.</w:t>
      </w:r>
    </w:p>
    <w:p w14:paraId="4B9443F6">
      <w:pPr>
        <w:spacing w:after="160"/>
      </w:pPr>
      <w:r>
        <w:rPr>
          <w:b w:val="0"/>
          <w:bCs w:val="0"/>
          <w:i w:val="0"/>
          <w:iCs w:val="0"/>
        </w:rPr>
        <w:t>The goal is simple: understand which parts of this portfolio created value over the long run, where the risk actually sat, and what has changed recently that a stakeholder should know about before making forward-looking decisions.</w:t>
      </w:r>
    </w:p>
    <w:p w14:paraId="11740DF9">
      <w:pPr>
        <w:pStyle w:val="2"/>
        <w:spacing w:before="320" w:after="160"/>
      </w:pPr>
      <w:r>
        <w:t>2. The headline story: strong absolute returns, but very uneven</w:t>
      </w:r>
    </w:p>
    <w:p w14:paraId="5D8B8C22">
      <w:pPr>
        <w:spacing w:after="160"/>
      </w:pPr>
      <w:r>
        <w:rPr>
          <w:b w:val="0"/>
          <w:bCs w:val="0"/>
          <w:i w:val="0"/>
          <w:iCs w:val="0"/>
        </w:rPr>
        <w:t>Every stock in the data</w:t>
      </w:r>
      <w:r>
        <w:rPr>
          <w:rFonts w:hint="default"/>
          <w:b w:val="0"/>
          <w:bCs w:val="0"/>
          <w:i w:val="0"/>
          <w:iCs w:val="0"/>
          <w:lang w:val="en-US"/>
        </w:rPr>
        <w:t xml:space="preserve"> </w:t>
      </w:r>
      <w:r>
        <w:rPr>
          <w:b w:val="0"/>
          <w:bCs w:val="0"/>
          <w:i w:val="0"/>
          <w:iCs w:val="0"/>
        </w:rPr>
        <w:t xml:space="preserve">set is worth more today than it was at the end of 2014 </w:t>
      </w:r>
      <w:r>
        <w:rPr>
          <w:b w:val="0"/>
          <w:bCs w:val="0"/>
          <w:i w:val="0"/>
          <w:iCs w:val="0"/>
          <w:lang w:val="en-US"/>
        </w:rPr>
        <w:t>-</w:t>
      </w:r>
      <w:r>
        <w:rPr>
          <w:b w:val="0"/>
          <w:bCs w:val="0"/>
          <w:i w:val="0"/>
          <w:iCs w:val="0"/>
        </w:rPr>
        <w:t xml:space="preserve"> none of the 13 positions lost money over the full period. But the size of that gain varies enormously, from Bank of Baroda's modest 37% total return to Reliance Industries' nearly 6x gain of 592%. That is a huge spread for a portfolio spanning the same eleven-year window, and it tells us that stock selection mattered far more than simply "being invested in the market."</w:t>
      </w:r>
    </w:p>
    <w:p w14:paraId="01B6026E">
      <w:pPr>
        <w:spacing w:after="160"/>
      </w:pPr>
      <w:r>
        <w:rPr>
          <w:b w:val="0"/>
          <w:bCs w:val="0"/>
          <w:i w:val="0"/>
          <w:iCs w:val="0"/>
        </w:rPr>
        <w:t xml:space="preserve">The table below ranks all 13 stocks by total return since the start of the dataset (Bank of Baroda and TMCV both figure in the story here </w:t>
      </w:r>
      <w:r>
        <w:rPr>
          <w:b w:val="0"/>
          <w:bCs w:val="0"/>
          <w:i w:val="0"/>
          <w:iCs w:val="0"/>
          <w:lang w:val="en-US"/>
        </w:rPr>
        <w:t>-</w:t>
      </w:r>
      <w:r>
        <w:rPr>
          <w:b w:val="0"/>
          <w:bCs w:val="0"/>
          <w:i w:val="0"/>
          <w:iCs w:val="0"/>
        </w:rPr>
        <w:t xml:space="preserve"> the latter is shown for reference given its short trading history).</w:t>
      </w:r>
    </w:p>
    <w:tbl>
      <w:tblPr>
        <w:tblStyle w:val="9"/>
        <w:tblW w:w="106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2000"/>
        <w:gridCol w:w="1600"/>
        <w:gridCol w:w="1200"/>
        <w:gridCol w:w="1600"/>
        <w:gridCol w:w="1600"/>
      </w:tblGrid>
      <w:tr w14:paraId="41C5A0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600" w:type="dxa"/>
            <w:tcBorders>
              <w:top w:val="single" w:color="999999" w:sz="2" w:space="0"/>
              <w:left w:val="single" w:color="999999" w:sz="2" w:space="0"/>
              <w:bottom w:val="single" w:color="999999" w:sz="2" w:space="0"/>
              <w:right w:val="single" w:color="999999" w:sz="2" w:space="0"/>
            </w:tcBorders>
            <w:shd w:val="clear" w:color="auto" w:fill="EAEAEA"/>
          </w:tcPr>
          <w:p w14:paraId="00CA4D19">
            <w:r>
              <w:rPr>
                <w:b/>
                <w:bCs/>
                <w:sz w:val="18"/>
                <w:szCs w:val="18"/>
              </w:rPr>
              <w:t>Company</w:t>
            </w:r>
          </w:p>
        </w:tc>
        <w:tc>
          <w:tcPr>
            <w:tcW w:w="2000" w:type="dxa"/>
            <w:tcBorders>
              <w:top w:val="single" w:color="999999" w:sz="2" w:space="0"/>
              <w:left w:val="single" w:color="999999" w:sz="2" w:space="0"/>
              <w:bottom w:val="single" w:color="999999" w:sz="2" w:space="0"/>
              <w:right w:val="single" w:color="999999" w:sz="2" w:space="0"/>
            </w:tcBorders>
            <w:shd w:val="clear" w:color="auto" w:fill="EAEAEA"/>
          </w:tcPr>
          <w:p w14:paraId="7283D1D7">
            <w:r>
              <w:rPr>
                <w:b/>
                <w:bCs/>
                <w:sz w:val="18"/>
                <w:szCs w:val="18"/>
              </w:rPr>
              <w:t>Sector</w:t>
            </w:r>
          </w:p>
        </w:tc>
        <w:tc>
          <w:tcPr>
            <w:tcW w:w="1600" w:type="dxa"/>
            <w:tcBorders>
              <w:top w:val="single" w:color="999999" w:sz="2" w:space="0"/>
              <w:left w:val="single" w:color="999999" w:sz="2" w:space="0"/>
              <w:bottom w:val="single" w:color="999999" w:sz="2" w:space="0"/>
              <w:right w:val="single" w:color="999999" w:sz="2" w:space="0"/>
            </w:tcBorders>
            <w:shd w:val="clear" w:color="auto" w:fill="EAEAEA"/>
          </w:tcPr>
          <w:p w14:paraId="138C537E">
            <w:r>
              <w:rPr>
                <w:b/>
                <w:bCs/>
                <w:sz w:val="18"/>
                <w:szCs w:val="18"/>
              </w:rPr>
              <w:t>Total Return</w:t>
            </w:r>
          </w:p>
        </w:tc>
        <w:tc>
          <w:tcPr>
            <w:tcW w:w="1200" w:type="dxa"/>
            <w:tcBorders>
              <w:top w:val="single" w:color="999999" w:sz="2" w:space="0"/>
              <w:left w:val="single" w:color="999999" w:sz="2" w:space="0"/>
              <w:bottom w:val="single" w:color="999999" w:sz="2" w:space="0"/>
              <w:right w:val="single" w:color="999999" w:sz="2" w:space="0"/>
            </w:tcBorders>
            <w:shd w:val="clear" w:color="auto" w:fill="EAEAEA"/>
          </w:tcPr>
          <w:p w14:paraId="1774EA56">
            <w:r>
              <w:rPr>
                <w:b/>
                <w:bCs/>
                <w:sz w:val="18"/>
                <w:szCs w:val="18"/>
              </w:rPr>
              <w:t>CAGR</w:t>
            </w:r>
          </w:p>
        </w:tc>
        <w:tc>
          <w:tcPr>
            <w:tcW w:w="1600" w:type="dxa"/>
            <w:tcBorders>
              <w:top w:val="single" w:color="999999" w:sz="2" w:space="0"/>
              <w:left w:val="single" w:color="999999" w:sz="2" w:space="0"/>
              <w:bottom w:val="single" w:color="999999" w:sz="2" w:space="0"/>
              <w:right w:val="single" w:color="999999" w:sz="2" w:space="0"/>
            </w:tcBorders>
            <w:shd w:val="clear" w:color="auto" w:fill="EAEAEA"/>
          </w:tcPr>
          <w:p w14:paraId="00B02943">
            <w:r>
              <w:rPr>
                <w:b/>
                <w:bCs/>
                <w:sz w:val="18"/>
                <w:szCs w:val="18"/>
              </w:rPr>
              <w:t>Ann. Volatility</w:t>
            </w:r>
          </w:p>
        </w:tc>
        <w:tc>
          <w:tcPr>
            <w:tcW w:w="1600" w:type="dxa"/>
            <w:tcBorders>
              <w:top w:val="single" w:color="999999" w:sz="2" w:space="0"/>
              <w:left w:val="single" w:color="999999" w:sz="2" w:space="0"/>
              <w:bottom w:val="single" w:color="999999" w:sz="2" w:space="0"/>
              <w:right w:val="single" w:color="999999" w:sz="2" w:space="0"/>
            </w:tcBorders>
            <w:shd w:val="clear" w:color="auto" w:fill="EAEAEA"/>
          </w:tcPr>
          <w:p w14:paraId="20E791A6">
            <w:r>
              <w:rPr>
                <w:b/>
                <w:bCs/>
                <w:sz w:val="18"/>
                <w:szCs w:val="18"/>
              </w:rPr>
              <w:t>Worst Drawdown</w:t>
            </w:r>
          </w:p>
        </w:tc>
      </w:tr>
      <w:tr w14:paraId="43EA54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999999" w:sz="2" w:space="0"/>
              <w:left w:val="single" w:color="999999" w:sz="2" w:space="0"/>
              <w:bottom w:val="single" w:color="999999" w:sz="2" w:space="0"/>
              <w:right w:val="single" w:color="999999" w:sz="2" w:space="0"/>
            </w:tcBorders>
          </w:tcPr>
          <w:p w14:paraId="6C54F03A">
            <w:pPr>
              <w:jc w:val="left"/>
            </w:pPr>
            <w:r>
              <w:rPr>
                <w:b w:val="0"/>
                <w:bCs w:val="0"/>
                <w:sz w:val="18"/>
                <w:szCs w:val="18"/>
              </w:rPr>
              <w:t>Reliance Industries</w:t>
            </w:r>
          </w:p>
        </w:tc>
        <w:tc>
          <w:tcPr>
            <w:tcW w:w="2000" w:type="dxa"/>
            <w:tcBorders>
              <w:top w:val="single" w:color="999999" w:sz="2" w:space="0"/>
              <w:left w:val="single" w:color="999999" w:sz="2" w:space="0"/>
              <w:bottom w:val="single" w:color="999999" w:sz="2" w:space="0"/>
              <w:right w:val="single" w:color="999999" w:sz="2" w:space="0"/>
            </w:tcBorders>
          </w:tcPr>
          <w:p w14:paraId="18EF97D7">
            <w:pPr>
              <w:jc w:val="left"/>
            </w:pPr>
            <w:r>
              <w:rPr>
                <w:b w:val="0"/>
                <w:bCs w:val="0"/>
                <w:sz w:val="18"/>
                <w:szCs w:val="18"/>
              </w:rPr>
              <w:t>Energy/Conglomerate</w:t>
            </w:r>
          </w:p>
        </w:tc>
        <w:tc>
          <w:tcPr>
            <w:tcW w:w="1600" w:type="dxa"/>
            <w:tcBorders>
              <w:top w:val="single" w:color="999999" w:sz="2" w:space="0"/>
              <w:left w:val="single" w:color="999999" w:sz="2" w:space="0"/>
              <w:bottom w:val="single" w:color="999999" w:sz="2" w:space="0"/>
              <w:right w:val="single" w:color="999999" w:sz="2" w:space="0"/>
            </w:tcBorders>
          </w:tcPr>
          <w:p w14:paraId="3B984A6B">
            <w:pPr>
              <w:jc w:val="left"/>
            </w:pPr>
            <w:r>
              <w:rPr>
                <w:b w:val="0"/>
                <w:bCs w:val="0"/>
                <w:sz w:val="18"/>
                <w:szCs w:val="18"/>
              </w:rPr>
              <w:t>+591.8%</w:t>
            </w:r>
          </w:p>
        </w:tc>
        <w:tc>
          <w:tcPr>
            <w:tcW w:w="1200" w:type="dxa"/>
            <w:tcBorders>
              <w:top w:val="single" w:color="999999" w:sz="2" w:space="0"/>
              <w:left w:val="single" w:color="999999" w:sz="2" w:space="0"/>
              <w:bottom w:val="single" w:color="999999" w:sz="2" w:space="0"/>
              <w:right w:val="single" w:color="999999" w:sz="2" w:space="0"/>
            </w:tcBorders>
          </w:tcPr>
          <w:p w14:paraId="14A00CD8">
            <w:pPr>
              <w:jc w:val="left"/>
            </w:pPr>
            <w:r>
              <w:rPr>
                <w:b w:val="0"/>
                <w:bCs w:val="0"/>
                <w:sz w:val="18"/>
                <w:szCs w:val="18"/>
              </w:rPr>
              <w:t>18.3%</w:t>
            </w:r>
          </w:p>
        </w:tc>
        <w:tc>
          <w:tcPr>
            <w:tcW w:w="1600" w:type="dxa"/>
            <w:tcBorders>
              <w:top w:val="single" w:color="999999" w:sz="2" w:space="0"/>
              <w:left w:val="single" w:color="999999" w:sz="2" w:space="0"/>
              <w:bottom w:val="single" w:color="999999" w:sz="2" w:space="0"/>
              <w:right w:val="single" w:color="999999" w:sz="2" w:space="0"/>
            </w:tcBorders>
          </w:tcPr>
          <w:p w14:paraId="2E1D5F2A">
            <w:pPr>
              <w:jc w:val="left"/>
            </w:pPr>
            <w:r>
              <w:rPr>
                <w:b w:val="0"/>
                <w:bCs w:val="0"/>
                <w:sz w:val="18"/>
                <w:szCs w:val="18"/>
              </w:rPr>
              <w:t>27.0%</w:t>
            </w:r>
          </w:p>
        </w:tc>
        <w:tc>
          <w:tcPr>
            <w:tcW w:w="1600" w:type="dxa"/>
            <w:tcBorders>
              <w:top w:val="single" w:color="999999" w:sz="2" w:space="0"/>
              <w:left w:val="single" w:color="999999" w:sz="2" w:space="0"/>
              <w:bottom w:val="single" w:color="999999" w:sz="2" w:space="0"/>
              <w:right w:val="single" w:color="999999" w:sz="2" w:space="0"/>
            </w:tcBorders>
          </w:tcPr>
          <w:p w14:paraId="7B602851">
            <w:pPr>
              <w:jc w:val="left"/>
            </w:pPr>
            <w:r>
              <w:rPr>
                <w:b w:val="0"/>
                <w:bCs w:val="0"/>
                <w:sz w:val="18"/>
                <w:szCs w:val="18"/>
              </w:rPr>
              <w:t>-45.1%</w:t>
            </w:r>
          </w:p>
        </w:tc>
      </w:tr>
      <w:tr w14:paraId="146644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999999" w:sz="2" w:space="0"/>
              <w:left w:val="single" w:color="999999" w:sz="2" w:space="0"/>
              <w:bottom w:val="single" w:color="999999" w:sz="2" w:space="0"/>
              <w:right w:val="single" w:color="999999" w:sz="2" w:space="0"/>
            </w:tcBorders>
          </w:tcPr>
          <w:p w14:paraId="01D22178">
            <w:pPr>
              <w:jc w:val="left"/>
            </w:pPr>
            <w:r>
              <w:rPr>
                <w:b w:val="0"/>
                <w:bCs w:val="0"/>
                <w:sz w:val="18"/>
                <w:szCs w:val="18"/>
              </w:rPr>
              <w:t>ICICI Bank</w:t>
            </w:r>
          </w:p>
        </w:tc>
        <w:tc>
          <w:tcPr>
            <w:tcW w:w="2000" w:type="dxa"/>
            <w:tcBorders>
              <w:top w:val="single" w:color="999999" w:sz="2" w:space="0"/>
              <w:left w:val="single" w:color="999999" w:sz="2" w:space="0"/>
              <w:bottom w:val="single" w:color="999999" w:sz="2" w:space="0"/>
              <w:right w:val="single" w:color="999999" w:sz="2" w:space="0"/>
            </w:tcBorders>
          </w:tcPr>
          <w:p w14:paraId="0E831871">
            <w:pPr>
              <w:jc w:val="left"/>
            </w:pPr>
            <w:r>
              <w:rPr>
                <w:b w:val="0"/>
                <w:bCs w:val="0"/>
                <w:sz w:val="18"/>
                <w:szCs w:val="18"/>
              </w:rPr>
              <w:t>Banking</w:t>
            </w:r>
          </w:p>
        </w:tc>
        <w:tc>
          <w:tcPr>
            <w:tcW w:w="1600" w:type="dxa"/>
            <w:tcBorders>
              <w:top w:val="single" w:color="999999" w:sz="2" w:space="0"/>
              <w:left w:val="single" w:color="999999" w:sz="2" w:space="0"/>
              <w:bottom w:val="single" w:color="999999" w:sz="2" w:space="0"/>
              <w:right w:val="single" w:color="999999" w:sz="2" w:space="0"/>
            </w:tcBorders>
          </w:tcPr>
          <w:p w14:paraId="0FED2250">
            <w:pPr>
              <w:jc w:val="left"/>
            </w:pPr>
            <w:r>
              <w:rPr>
                <w:b w:val="0"/>
                <w:bCs w:val="0"/>
                <w:sz w:val="18"/>
                <w:szCs w:val="18"/>
              </w:rPr>
              <w:t>+381.2%</w:t>
            </w:r>
          </w:p>
        </w:tc>
        <w:tc>
          <w:tcPr>
            <w:tcW w:w="1200" w:type="dxa"/>
            <w:tcBorders>
              <w:top w:val="single" w:color="999999" w:sz="2" w:space="0"/>
              <w:left w:val="single" w:color="999999" w:sz="2" w:space="0"/>
              <w:bottom w:val="single" w:color="999999" w:sz="2" w:space="0"/>
              <w:right w:val="single" w:color="999999" w:sz="2" w:space="0"/>
            </w:tcBorders>
          </w:tcPr>
          <w:p w14:paraId="4A499B6F">
            <w:pPr>
              <w:jc w:val="left"/>
            </w:pPr>
            <w:r>
              <w:rPr>
                <w:b w:val="0"/>
                <w:bCs w:val="0"/>
                <w:sz w:val="18"/>
                <w:szCs w:val="18"/>
              </w:rPr>
              <w:t>14.6%</w:t>
            </w:r>
          </w:p>
        </w:tc>
        <w:tc>
          <w:tcPr>
            <w:tcW w:w="1600" w:type="dxa"/>
            <w:tcBorders>
              <w:top w:val="single" w:color="999999" w:sz="2" w:space="0"/>
              <w:left w:val="single" w:color="999999" w:sz="2" w:space="0"/>
              <w:bottom w:val="single" w:color="999999" w:sz="2" w:space="0"/>
              <w:right w:val="single" w:color="999999" w:sz="2" w:space="0"/>
            </w:tcBorders>
          </w:tcPr>
          <w:p w14:paraId="09FFC638">
            <w:pPr>
              <w:jc w:val="left"/>
            </w:pPr>
            <w:r>
              <w:rPr>
                <w:b w:val="0"/>
                <w:bCs w:val="0"/>
                <w:sz w:val="18"/>
                <w:szCs w:val="18"/>
              </w:rPr>
              <w:t>30.1%</w:t>
            </w:r>
          </w:p>
        </w:tc>
        <w:tc>
          <w:tcPr>
            <w:tcW w:w="1600" w:type="dxa"/>
            <w:tcBorders>
              <w:top w:val="single" w:color="999999" w:sz="2" w:space="0"/>
              <w:left w:val="single" w:color="999999" w:sz="2" w:space="0"/>
              <w:bottom w:val="single" w:color="999999" w:sz="2" w:space="0"/>
              <w:right w:val="single" w:color="999999" w:sz="2" w:space="0"/>
            </w:tcBorders>
          </w:tcPr>
          <w:p w14:paraId="4AC0CEE3">
            <w:pPr>
              <w:jc w:val="left"/>
            </w:pPr>
            <w:r>
              <w:rPr>
                <w:b w:val="0"/>
                <w:bCs w:val="0"/>
                <w:sz w:val="18"/>
                <w:szCs w:val="18"/>
              </w:rPr>
              <w:t>-51.5%</w:t>
            </w:r>
          </w:p>
        </w:tc>
      </w:tr>
      <w:tr w14:paraId="41CAA3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999999" w:sz="2" w:space="0"/>
              <w:left w:val="single" w:color="999999" w:sz="2" w:space="0"/>
              <w:bottom w:val="single" w:color="999999" w:sz="2" w:space="0"/>
              <w:right w:val="single" w:color="999999" w:sz="2" w:space="0"/>
            </w:tcBorders>
          </w:tcPr>
          <w:p w14:paraId="455075E4">
            <w:pPr>
              <w:jc w:val="left"/>
            </w:pPr>
            <w:r>
              <w:rPr>
                <w:b w:val="0"/>
                <w:bCs w:val="0"/>
                <w:sz w:val="18"/>
                <w:szCs w:val="18"/>
              </w:rPr>
              <w:t>Maruti Suzuki</w:t>
            </w:r>
          </w:p>
        </w:tc>
        <w:tc>
          <w:tcPr>
            <w:tcW w:w="2000" w:type="dxa"/>
            <w:tcBorders>
              <w:top w:val="single" w:color="999999" w:sz="2" w:space="0"/>
              <w:left w:val="single" w:color="999999" w:sz="2" w:space="0"/>
              <w:bottom w:val="single" w:color="999999" w:sz="2" w:space="0"/>
              <w:right w:val="single" w:color="999999" w:sz="2" w:space="0"/>
            </w:tcBorders>
          </w:tcPr>
          <w:p w14:paraId="110785AE">
            <w:pPr>
              <w:jc w:val="left"/>
            </w:pPr>
            <w:r>
              <w:rPr>
                <w:b w:val="0"/>
                <w:bCs w:val="0"/>
                <w:sz w:val="18"/>
                <w:szCs w:val="18"/>
              </w:rPr>
              <w:t>Auto</w:t>
            </w:r>
          </w:p>
        </w:tc>
        <w:tc>
          <w:tcPr>
            <w:tcW w:w="1600" w:type="dxa"/>
            <w:tcBorders>
              <w:top w:val="single" w:color="999999" w:sz="2" w:space="0"/>
              <w:left w:val="single" w:color="999999" w:sz="2" w:space="0"/>
              <w:bottom w:val="single" w:color="999999" w:sz="2" w:space="0"/>
              <w:right w:val="single" w:color="999999" w:sz="2" w:space="0"/>
            </w:tcBorders>
          </w:tcPr>
          <w:p w14:paraId="30F6FF7A">
            <w:pPr>
              <w:jc w:val="left"/>
            </w:pPr>
            <w:r>
              <w:rPr>
                <w:b w:val="0"/>
                <w:bCs w:val="0"/>
                <w:sz w:val="18"/>
                <w:szCs w:val="18"/>
              </w:rPr>
              <w:t>+379.5%</w:t>
            </w:r>
          </w:p>
        </w:tc>
        <w:tc>
          <w:tcPr>
            <w:tcW w:w="1200" w:type="dxa"/>
            <w:tcBorders>
              <w:top w:val="single" w:color="999999" w:sz="2" w:space="0"/>
              <w:left w:val="single" w:color="999999" w:sz="2" w:space="0"/>
              <w:bottom w:val="single" w:color="999999" w:sz="2" w:space="0"/>
              <w:right w:val="single" w:color="999999" w:sz="2" w:space="0"/>
            </w:tcBorders>
          </w:tcPr>
          <w:p w14:paraId="2437E956">
            <w:pPr>
              <w:jc w:val="left"/>
            </w:pPr>
            <w:r>
              <w:rPr>
                <w:b w:val="0"/>
                <w:bCs w:val="0"/>
                <w:sz w:val="18"/>
                <w:szCs w:val="18"/>
              </w:rPr>
              <w:t>14.6%</w:t>
            </w:r>
          </w:p>
        </w:tc>
        <w:tc>
          <w:tcPr>
            <w:tcW w:w="1600" w:type="dxa"/>
            <w:tcBorders>
              <w:top w:val="single" w:color="999999" w:sz="2" w:space="0"/>
              <w:left w:val="single" w:color="999999" w:sz="2" w:space="0"/>
              <w:bottom w:val="single" w:color="999999" w:sz="2" w:space="0"/>
              <w:right w:val="single" w:color="999999" w:sz="2" w:space="0"/>
            </w:tcBorders>
          </w:tcPr>
          <w:p w14:paraId="77E7C59E">
            <w:pPr>
              <w:jc w:val="left"/>
            </w:pPr>
            <w:r>
              <w:rPr>
                <w:b w:val="0"/>
                <w:bCs w:val="0"/>
                <w:sz w:val="18"/>
                <w:szCs w:val="18"/>
              </w:rPr>
              <w:t>27.2%</w:t>
            </w:r>
          </w:p>
        </w:tc>
        <w:tc>
          <w:tcPr>
            <w:tcW w:w="1600" w:type="dxa"/>
            <w:tcBorders>
              <w:top w:val="single" w:color="999999" w:sz="2" w:space="0"/>
              <w:left w:val="single" w:color="999999" w:sz="2" w:space="0"/>
              <w:bottom w:val="single" w:color="999999" w:sz="2" w:space="0"/>
              <w:right w:val="single" w:color="999999" w:sz="2" w:space="0"/>
            </w:tcBorders>
          </w:tcPr>
          <w:p w14:paraId="74D6087B">
            <w:pPr>
              <w:jc w:val="left"/>
            </w:pPr>
            <w:r>
              <w:rPr>
                <w:b w:val="0"/>
                <w:bCs w:val="0"/>
                <w:sz w:val="18"/>
                <w:szCs w:val="18"/>
              </w:rPr>
              <w:t>-58.3%</w:t>
            </w:r>
          </w:p>
        </w:tc>
      </w:tr>
      <w:tr w14:paraId="0B249C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999999" w:sz="2" w:space="0"/>
              <w:left w:val="single" w:color="999999" w:sz="2" w:space="0"/>
              <w:bottom w:val="single" w:color="999999" w:sz="2" w:space="0"/>
              <w:right w:val="single" w:color="999999" w:sz="2" w:space="0"/>
            </w:tcBorders>
          </w:tcPr>
          <w:p w14:paraId="38528E52">
            <w:pPr>
              <w:jc w:val="left"/>
            </w:pPr>
            <w:r>
              <w:rPr>
                <w:b w:val="0"/>
                <w:bCs w:val="0"/>
                <w:sz w:val="18"/>
                <w:szCs w:val="18"/>
              </w:rPr>
              <w:t>HDFC Bank</w:t>
            </w:r>
          </w:p>
        </w:tc>
        <w:tc>
          <w:tcPr>
            <w:tcW w:w="2000" w:type="dxa"/>
            <w:tcBorders>
              <w:top w:val="single" w:color="999999" w:sz="2" w:space="0"/>
              <w:left w:val="single" w:color="999999" w:sz="2" w:space="0"/>
              <w:bottom w:val="single" w:color="999999" w:sz="2" w:space="0"/>
              <w:right w:val="single" w:color="999999" w:sz="2" w:space="0"/>
            </w:tcBorders>
          </w:tcPr>
          <w:p w14:paraId="640254AC">
            <w:pPr>
              <w:jc w:val="left"/>
            </w:pPr>
            <w:r>
              <w:rPr>
                <w:b w:val="0"/>
                <w:bCs w:val="0"/>
                <w:sz w:val="18"/>
                <w:szCs w:val="18"/>
              </w:rPr>
              <w:t>Banking</w:t>
            </w:r>
          </w:p>
        </w:tc>
        <w:tc>
          <w:tcPr>
            <w:tcW w:w="1600" w:type="dxa"/>
            <w:tcBorders>
              <w:top w:val="single" w:color="999999" w:sz="2" w:space="0"/>
              <w:left w:val="single" w:color="999999" w:sz="2" w:space="0"/>
              <w:bottom w:val="single" w:color="999999" w:sz="2" w:space="0"/>
              <w:right w:val="single" w:color="999999" w:sz="2" w:space="0"/>
            </w:tcBorders>
          </w:tcPr>
          <w:p w14:paraId="2CEF457E">
            <w:pPr>
              <w:jc w:val="left"/>
            </w:pPr>
            <w:r>
              <w:rPr>
                <w:b w:val="0"/>
                <w:bCs w:val="0"/>
                <w:sz w:val="18"/>
                <w:szCs w:val="18"/>
              </w:rPr>
              <w:t>+288.1%</w:t>
            </w:r>
          </w:p>
        </w:tc>
        <w:tc>
          <w:tcPr>
            <w:tcW w:w="1200" w:type="dxa"/>
            <w:tcBorders>
              <w:top w:val="single" w:color="999999" w:sz="2" w:space="0"/>
              <w:left w:val="single" w:color="999999" w:sz="2" w:space="0"/>
              <w:bottom w:val="single" w:color="999999" w:sz="2" w:space="0"/>
              <w:right w:val="single" w:color="999999" w:sz="2" w:space="0"/>
            </w:tcBorders>
          </w:tcPr>
          <w:p w14:paraId="0E4ACAA4">
            <w:pPr>
              <w:jc w:val="left"/>
            </w:pPr>
            <w:r>
              <w:rPr>
                <w:b w:val="0"/>
                <w:bCs w:val="0"/>
                <w:sz w:val="18"/>
                <w:szCs w:val="18"/>
              </w:rPr>
              <w:t>12.5%</w:t>
            </w:r>
          </w:p>
        </w:tc>
        <w:tc>
          <w:tcPr>
            <w:tcW w:w="1600" w:type="dxa"/>
            <w:tcBorders>
              <w:top w:val="single" w:color="999999" w:sz="2" w:space="0"/>
              <w:left w:val="single" w:color="999999" w:sz="2" w:space="0"/>
              <w:bottom w:val="single" w:color="999999" w:sz="2" w:space="0"/>
              <w:right w:val="single" w:color="999999" w:sz="2" w:space="0"/>
            </w:tcBorders>
          </w:tcPr>
          <w:p w14:paraId="53D03360">
            <w:pPr>
              <w:jc w:val="left"/>
            </w:pPr>
            <w:r>
              <w:rPr>
                <w:b w:val="0"/>
                <w:bCs w:val="0"/>
                <w:sz w:val="18"/>
                <w:szCs w:val="18"/>
              </w:rPr>
              <w:t>22.3%</w:t>
            </w:r>
          </w:p>
        </w:tc>
        <w:tc>
          <w:tcPr>
            <w:tcW w:w="1600" w:type="dxa"/>
            <w:tcBorders>
              <w:top w:val="single" w:color="999999" w:sz="2" w:space="0"/>
              <w:left w:val="single" w:color="999999" w:sz="2" w:space="0"/>
              <w:bottom w:val="single" w:color="999999" w:sz="2" w:space="0"/>
              <w:right w:val="single" w:color="999999" w:sz="2" w:space="0"/>
            </w:tcBorders>
          </w:tcPr>
          <w:p w14:paraId="64F11A6A">
            <w:pPr>
              <w:jc w:val="left"/>
            </w:pPr>
            <w:r>
              <w:rPr>
                <w:b w:val="0"/>
                <w:bCs w:val="0"/>
                <w:sz w:val="18"/>
                <w:szCs w:val="18"/>
              </w:rPr>
              <w:t>-41.1%</w:t>
            </w:r>
          </w:p>
        </w:tc>
      </w:tr>
      <w:tr w14:paraId="2EBB83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999999" w:sz="2" w:space="0"/>
              <w:left w:val="single" w:color="999999" w:sz="2" w:space="0"/>
              <w:bottom w:val="single" w:color="999999" w:sz="2" w:space="0"/>
              <w:right w:val="single" w:color="999999" w:sz="2" w:space="0"/>
            </w:tcBorders>
          </w:tcPr>
          <w:p w14:paraId="707A43A9">
            <w:pPr>
              <w:jc w:val="left"/>
            </w:pPr>
            <w:r>
              <w:rPr>
                <w:b w:val="0"/>
                <w:bCs w:val="0"/>
                <w:sz w:val="18"/>
                <w:szCs w:val="18"/>
              </w:rPr>
              <w:t>State Bank of India</w:t>
            </w:r>
          </w:p>
        </w:tc>
        <w:tc>
          <w:tcPr>
            <w:tcW w:w="2000" w:type="dxa"/>
            <w:tcBorders>
              <w:top w:val="single" w:color="999999" w:sz="2" w:space="0"/>
              <w:left w:val="single" w:color="999999" w:sz="2" w:space="0"/>
              <w:bottom w:val="single" w:color="999999" w:sz="2" w:space="0"/>
              <w:right w:val="single" w:color="999999" w:sz="2" w:space="0"/>
            </w:tcBorders>
          </w:tcPr>
          <w:p w14:paraId="45EE4FF8">
            <w:pPr>
              <w:jc w:val="left"/>
            </w:pPr>
            <w:r>
              <w:rPr>
                <w:b w:val="0"/>
                <w:bCs w:val="0"/>
                <w:sz w:val="18"/>
                <w:szCs w:val="18"/>
              </w:rPr>
              <w:t>Banking</w:t>
            </w:r>
          </w:p>
        </w:tc>
        <w:tc>
          <w:tcPr>
            <w:tcW w:w="1600" w:type="dxa"/>
            <w:tcBorders>
              <w:top w:val="single" w:color="999999" w:sz="2" w:space="0"/>
              <w:left w:val="single" w:color="999999" w:sz="2" w:space="0"/>
              <w:bottom w:val="single" w:color="999999" w:sz="2" w:space="0"/>
              <w:right w:val="single" w:color="999999" w:sz="2" w:space="0"/>
            </w:tcBorders>
          </w:tcPr>
          <w:p w14:paraId="2FB7ED9B">
            <w:pPr>
              <w:jc w:val="left"/>
            </w:pPr>
            <w:r>
              <w:rPr>
                <w:b w:val="0"/>
                <w:bCs w:val="0"/>
                <w:sz w:val="18"/>
                <w:szCs w:val="18"/>
              </w:rPr>
              <w:t>+277.6%</w:t>
            </w:r>
          </w:p>
        </w:tc>
        <w:tc>
          <w:tcPr>
            <w:tcW w:w="1200" w:type="dxa"/>
            <w:tcBorders>
              <w:top w:val="single" w:color="999999" w:sz="2" w:space="0"/>
              <w:left w:val="single" w:color="999999" w:sz="2" w:space="0"/>
              <w:bottom w:val="single" w:color="999999" w:sz="2" w:space="0"/>
              <w:right w:val="single" w:color="999999" w:sz="2" w:space="0"/>
            </w:tcBorders>
          </w:tcPr>
          <w:p w14:paraId="4D9BF59C">
            <w:pPr>
              <w:jc w:val="left"/>
            </w:pPr>
            <w:r>
              <w:rPr>
                <w:b w:val="0"/>
                <w:bCs w:val="0"/>
                <w:sz w:val="18"/>
                <w:szCs w:val="18"/>
              </w:rPr>
              <w:t>12.2%</w:t>
            </w:r>
          </w:p>
        </w:tc>
        <w:tc>
          <w:tcPr>
            <w:tcW w:w="1600" w:type="dxa"/>
            <w:tcBorders>
              <w:top w:val="single" w:color="999999" w:sz="2" w:space="0"/>
              <w:left w:val="single" w:color="999999" w:sz="2" w:space="0"/>
              <w:bottom w:val="single" w:color="999999" w:sz="2" w:space="0"/>
              <w:right w:val="single" w:color="999999" w:sz="2" w:space="0"/>
            </w:tcBorders>
          </w:tcPr>
          <w:p w14:paraId="190E4E4A">
            <w:pPr>
              <w:jc w:val="left"/>
            </w:pPr>
            <w:r>
              <w:rPr>
                <w:b w:val="0"/>
                <w:bCs w:val="0"/>
                <w:sz w:val="18"/>
                <w:szCs w:val="18"/>
              </w:rPr>
              <w:t>32.6%</w:t>
            </w:r>
          </w:p>
        </w:tc>
        <w:tc>
          <w:tcPr>
            <w:tcW w:w="1600" w:type="dxa"/>
            <w:tcBorders>
              <w:top w:val="single" w:color="999999" w:sz="2" w:space="0"/>
              <w:left w:val="single" w:color="999999" w:sz="2" w:space="0"/>
              <w:bottom w:val="single" w:color="999999" w:sz="2" w:space="0"/>
              <w:right w:val="single" w:color="999999" w:sz="2" w:space="0"/>
            </w:tcBorders>
          </w:tcPr>
          <w:p w14:paraId="5E0F99F1">
            <w:pPr>
              <w:jc w:val="left"/>
            </w:pPr>
            <w:r>
              <w:rPr>
                <w:b w:val="0"/>
                <w:bCs w:val="0"/>
                <w:sz w:val="18"/>
                <w:szCs w:val="18"/>
              </w:rPr>
              <w:t>-59.5%</w:t>
            </w:r>
          </w:p>
        </w:tc>
      </w:tr>
      <w:tr w14:paraId="7DBCD5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999999" w:sz="2" w:space="0"/>
              <w:left w:val="single" w:color="999999" w:sz="2" w:space="0"/>
              <w:bottom w:val="single" w:color="999999" w:sz="2" w:space="0"/>
              <w:right w:val="single" w:color="999999" w:sz="2" w:space="0"/>
            </w:tcBorders>
          </w:tcPr>
          <w:p w14:paraId="310AEF88">
            <w:pPr>
              <w:jc w:val="left"/>
            </w:pPr>
            <w:r>
              <w:rPr>
                <w:b w:val="0"/>
                <w:bCs w:val="0"/>
                <w:sz w:val="18"/>
                <w:szCs w:val="18"/>
              </w:rPr>
              <w:t>Infosys</w:t>
            </w:r>
          </w:p>
        </w:tc>
        <w:tc>
          <w:tcPr>
            <w:tcW w:w="2000" w:type="dxa"/>
            <w:tcBorders>
              <w:top w:val="single" w:color="999999" w:sz="2" w:space="0"/>
              <w:left w:val="single" w:color="999999" w:sz="2" w:space="0"/>
              <w:bottom w:val="single" w:color="999999" w:sz="2" w:space="0"/>
              <w:right w:val="single" w:color="999999" w:sz="2" w:space="0"/>
            </w:tcBorders>
          </w:tcPr>
          <w:p w14:paraId="3CF7CE2E">
            <w:pPr>
              <w:jc w:val="left"/>
            </w:pPr>
            <w:r>
              <w:rPr>
                <w:b w:val="0"/>
                <w:bCs w:val="0"/>
                <w:sz w:val="18"/>
                <w:szCs w:val="18"/>
              </w:rPr>
              <w:t>IT</w:t>
            </w:r>
          </w:p>
        </w:tc>
        <w:tc>
          <w:tcPr>
            <w:tcW w:w="1600" w:type="dxa"/>
            <w:tcBorders>
              <w:top w:val="single" w:color="999999" w:sz="2" w:space="0"/>
              <w:left w:val="single" w:color="999999" w:sz="2" w:space="0"/>
              <w:bottom w:val="single" w:color="999999" w:sz="2" w:space="0"/>
              <w:right w:val="single" w:color="999999" w:sz="2" w:space="0"/>
            </w:tcBorders>
          </w:tcPr>
          <w:p w14:paraId="3D495A66">
            <w:pPr>
              <w:jc w:val="left"/>
            </w:pPr>
            <w:r>
              <w:rPr>
                <w:b w:val="0"/>
                <w:bCs w:val="0"/>
                <w:sz w:val="18"/>
                <w:szCs w:val="18"/>
              </w:rPr>
              <w:t>+197.7%</w:t>
            </w:r>
          </w:p>
        </w:tc>
        <w:tc>
          <w:tcPr>
            <w:tcW w:w="1200" w:type="dxa"/>
            <w:tcBorders>
              <w:top w:val="single" w:color="999999" w:sz="2" w:space="0"/>
              <w:left w:val="single" w:color="999999" w:sz="2" w:space="0"/>
              <w:bottom w:val="single" w:color="999999" w:sz="2" w:space="0"/>
              <w:right w:val="single" w:color="999999" w:sz="2" w:space="0"/>
            </w:tcBorders>
          </w:tcPr>
          <w:p w14:paraId="43B8FC45">
            <w:pPr>
              <w:jc w:val="left"/>
            </w:pPr>
            <w:r>
              <w:rPr>
                <w:b w:val="0"/>
                <w:bCs w:val="0"/>
                <w:sz w:val="18"/>
                <w:szCs w:val="18"/>
              </w:rPr>
              <w:t>9.9%</w:t>
            </w:r>
          </w:p>
        </w:tc>
        <w:tc>
          <w:tcPr>
            <w:tcW w:w="1600" w:type="dxa"/>
            <w:tcBorders>
              <w:top w:val="single" w:color="999999" w:sz="2" w:space="0"/>
              <w:left w:val="single" w:color="999999" w:sz="2" w:space="0"/>
              <w:bottom w:val="single" w:color="999999" w:sz="2" w:space="0"/>
              <w:right w:val="single" w:color="999999" w:sz="2" w:space="0"/>
            </w:tcBorders>
          </w:tcPr>
          <w:p w14:paraId="72CEB789">
            <w:pPr>
              <w:jc w:val="left"/>
            </w:pPr>
            <w:r>
              <w:rPr>
                <w:b w:val="0"/>
                <w:bCs w:val="0"/>
                <w:sz w:val="18"/>
                <w:szCs w:val="18"/>
              </w:rPr>
              <w:t>26.8%</w:t>
            </w:r>
          </w:p>
        </w:tc>
        <w:tc>
          <w:tcPr>
            <w:tcW w:w="1600" w:type="dxa"/>
            <w:tcBorders>
              <w:top w:val="single" w:color="999999" w:sz="2" w:space="0"/>
              <w:left w:val="single" w:color="999999" w:sz="2" w:space="0"/>
              <w:bottom w:val="single" w:color="999999" w:sz="2" w:space="0"/>
              <w:right w:val="single" w:color="999999" w:sz="2" w:space="0"/>
            </w:tcBorders>
          </w:tcPr>
          <w:p w14:paraId="3E2A0467">
            <w:pPr>
              <w:jc w:val="left"/>
            </w:pPr>
            <w:r>
              <w:rPr>
                <w:b w:val="0"/>
                <w:bCs w:val="0"/>
                <w:sz w:val="18"/>
                <w:szCs w:val="18"/>
              </w:rPr>
              <w:t>-48.2%</w:t>
            </w:r>
          </w:p>
        </w:tc>
      </w:tr>
      <w:tr w14:paraId="3BD4A0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999999" w:sz="2" w:space="0"/>
              <w:left w:val="single" w:color="999999" w:sz="2" w:space="0"/>
              <w:bottom w:val="single" w:color="999999" w:sz="2" w:space="0"/>
              <w:right w:val="single" w:color="999999" w:sz="2" w:space="0"/>
            </w:tcBorders>
          </w:tcPr>
          <w:p w14:paraId="04ED384B">
            <w:pPr>
              <w:jc w:val="left"/>
            </w:pPr>
            <w:r>
              <w:rPr>
                <w:b w:val="0"/>
                <w:bCs w:val="0"/>
                <w:sz w:val="18"/>
                <w:szCs w:val="18"/>
              </w:rPr>
              <w:t>Axis Bank</w:t>
            </w:r>
          </w:p>
        </w:tc>
        <w:tc>
          <w:tcPr>
            <w:tcW w:w="2000" w:type="dxa"/>
            <w:tcBorders>
              <w:top w:val="single" w:color="999999" w:sz="2" w:space="0"/>
              <w:left w:val="single" w:color="999999" w:sz="2" w:space="0"/>
              <w:bottom w:val="single" w:color="999999" w:sz="2" w:space="0"/>
              <w:right w:val="single" w:color="999999" w:sz="2" w:space="0"/>
            </w:tcBorders>
          </w:tcPr>
          <w:p w14:paraId="326031C0">
            <w:pPr>
              <w:jc w:val="left"/>
            </w:pPr>
            <w:r>
              <w:rPr>
                <w:b w:val="0"/>
                <w:bCs w:val="0"/>
                <w:sz w:val="18"/>
                <w:szCs w:val="18"/>
              </w:rPr>
              <w:t>Banking</w:t>
            </w:r>
          </w:p>
        </w:tc>
        <w:tc>
          <w:tcPr>
            <w:tcW w:w="1600" w:type="dxa"/>
            <w:tcBorders>
              <w:top w:val="single" w:color="999999" w:sz="2" w:space="0"/>
              <w:left w:val="single" w:color="999999" w:sz="2" w:space="0"/>
              <w:bottom w:val="single" w:color="999999" w:sz="2" w:space="0"/>
              <w:right w:val="single" w:color="999999" w:sz="2" w:space="0"/>
            </w:tcBorders>
          </w:tcPr>
          <w:p w14:paraId="262F12D0">
            <w:pPr>
              <w:jc w:val="left"/>
            </w:pPr>
            <w:r>
              <w:rPr>
                <w:b w:val="0"/>
                <w:bCs w:val="0"/>
                <w:sz w:val="18"/>
                <w:szCs w:val="18"/>
              </w:rPr>
              <w:t>+175.4%</w:t>
            </w:r>
          </w:p>
        </w:tc>
        <w:tc>
          <w:tcPr>
            <w:tcW w:w="1200" w:type="dxa"/>
            <w:tcBorders>
              <w:top w:val="single" w:color="999999" w:sz="2" w:space="0"/>
              <w:left w:val="single" w:color="999999" w:sz="2" w:space="0"/>
              <w:bottom w:val="single" w:color="999999" w:sz="2" w:space="0"/>
              <w:right w:val="single" w:color="999999" w:sz="2" w:space="0"/>
            </w:tcBorders>
          </w:tcPr>
          <w:p w14:paraId="6A2AD903">
            <w:pPr>
              <w:jc w:val="left"/>
            </w:pPr>
            <w:r>
              <w:rPr>
                <w:b w:val="0"/>
                <w:bCs w:val="0"/>
                <w:sz w:val="18"/>
                <w:szCs w:val="18"/>
              </w:rPr>
              <w:t>9.2%</w:t>
            </w:r>
          </w:p>
        </w:tc>
        <w:tc>
          <w:tcPr>
            <w:tcW w:w="1600" w:type="dxa"/>
            <w:tcBorders>
              <w:top w:val="single" w:color="999999" w:sz="2" w:space="0"/>
              <w:left w:val="single" w:color="999999" w:sz="2" w:space="0"/>
              <w:bottom w:val="single" w:color="999999" w:sz="2" w:space="0"/>
              <w:right w:val="single" w:color="999999" w:sz="2" w:space="0"/>
            </w:tcBorders>
          </w:tcPr>
          <w:p w14:paraId="7E804FD1">
            <w:pPr>
              <w:jc w:val="left"/>
            </w:pPr>
            <w:r>
              <w:rPr>
                <w:b w:val="0"/>
                <w:bCs w:val="0"/>
                <w:sz w:val="18"/>
                <w:szCs w:val="18"/>
              </w:rPr>
              <w:t>32.5%</w:t>
            </w:r>
          </w:p>
        </w:tc>
        <w:tc>
          <w:tcPr>
            <w:tcW w:w="1600" w:type="dxa"/>
            <w:tcBorders>
              <w:top w:val="single" w:color="999999" w:sz="2" w:space="0"/>
              <w:left w:val="single" w:color="999999" w:sz="2" w:space="0"/>
              <w:bottom w:val="single" w:color="999999" w:sz="2" w:space="0"/>
              <w:right w:val="single" w:color="999999" w:sz="2" w:space="0"/>
            </w:tcBorders>
          </w:tcPr>
          <w:p w14:paraId="055FE014">
            <w:pPr>
              <w:jc w:val="left"/>
            </w:pPr>
            <w:r>
              <w:rPr>
                <w:b w:val="0"/>
                <w:bCs w:val="0"/>
                <w:sz w:val="18"/>
                <w:szCs w:val="18"/>
              </w:rPr>
              <w:t>-63.1%</w:t>
            </w:r>
          </w:p>
        </w:tc>
      </w:tr>
      <w:tr w14:paraId="633A25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999999" w:sz="2" w:space="0"/>
              <w:left w:val="single" w:color="999999" w:sz="2" w:space="0"/>
              <w:bottom w:val="single" w:color="999999" w:sz="2" w:space="0"/>
              <w:right w:val="single" w:color="999999" w:sz="2" w:space="0"/>
            </w:tcBorders>
          </w:tcPr>
          <w:p w14:paraId="7A7AEADF">
            <w:pPr>
              <w:jc w:val="left"/>
            </w:pPr>
            <w:r>
              <w:rPr>
                <w:b w:val="0"/>
                <w:bCs w:val="0"/>
                <w:sz w:val="18"/>
                <w:szCs w:val="18"/>
              </w:rPr>
              <w:t>Honda Po</w:t>
            </w:r>
            <w:r>
              <w:rPr>
                <w:b w:val="0"/>
                <w:bCs w:val="0"/>
                <w:sz w:val="18"/>
                <w:szCs w:val="18"/>
                <w:lang w:val="en-US"/>
              </w:rPr>
              <w:t>I</w:t>
            </w:r>
            <w:r>
              <w:rPr>
                <w:b w:val="0"/>
                <w:bCs w:val="0"/>
                <w:sz w:val="18"/>
                <w:szCs w:val="18"/>
              </w:rPr>
              <w:t>r</w:t>
            </w:r>
          </w:p>
        </w:tc>
        <w:tc>
          <w:tcPr>
            <w:tcW w:w="2000" w:type="dxa"/>
            <w:tcBorders>
              <w:top w:val="single" w:color="999999" w:sz="2" w:space="0"/>
              <w:left w:val="single" w:color="999999" w:sz="2" w:space="0"/>
              <w:bottom w:val="single" w:color="999999" w:sz="2" w:space="0"/>
              <w:right w:val="single" w:color="999999" w:sz="2" w:space="0"/>
            </w:tcBorders>
          </w:tcPr>
          <w:p w14:paraId="409FB764">
            <w:pPr>
              <w:jc w:val="left"/>
            </w:pPr>
            <w:r>
              <w:rPr>
                <w:b w:val="0"/>
                <w:bCs w:val="0"/>
                <w:sz w:val="18"/>
                <w:szCs w:val="18"/>
              </w:rPr>
              <w:t>Auto</w:t>
            </w:r>
          </w:p>
        </w:tc>
        <w:tc>
          <w:tcPr>
            <w:tcW w:w="1600" w:type="dxa"/>
            <w:tcBorders>
              <w:top w:val="single" w:color="999999" w:sz="2" w:space="0"/>
              <w:left w:val="single" w:color="999999" w:sz="2" w:space="0"/>
              <w:bottom w:val="single" w:color="999999" w:sz="2" w:space="0"/>
              <w:right w:val="single" w:color="999999" w:sz="2" w:space="0"/>
            </w:tcBorders>
          </w:tcPr>
          <w:p w14:paraId="3BF2C297">
            <w:pPr>
              <w:jc w:val="left"/>
            </w:pPr>
            <w:r>
              <w:rPr>
                <w:b w:val="0"/>
                <w:bCs w:val="0"/>
                <w:sz w:val="18"/>
                <w:szCs w:val="18"/>
              </w:rPr>
              <w:t>+165.3%</w:t>
            </w:r>
          </w:p>
        </w:tc>
        <w:tc>
          <w:tcPr>
            <w:tcW w:w="1200" w:type="dxa"/>
            <w:tcBorders>
              <w:top w:val="single" w:color="999999" w:sz="2" w:space="0"/>
              <w:left w:val="single" w:color="999999" w:sz="2" w:space="0"/>
              <w:bottom w:val="single" w:color="999999" w:sz="2" w:space="0"/>
              <w:right w:val="single" w:color="999999" w:sz="2" w:space="0"/>
            </w:tcBorders>
          </w:tcPr>
          <w:p w14:paraId="73D65A25">
            <w:pPr>
              <w:jc w:val="left"/>
            </w:pPr>
            <w:r>
              <w:rPr>
                <w:b w:val="0"/>
                <w:bCs w:val="0"/>
                <w:sz w:val="18"/>
                <w:szCs w:val="18"/>
              </w:rPr>
              <w:t>8.8%</w:t>
            </w:r>
          </w:p>
        </w:tc>
        <w:tc>
          <w:tcPr>
            <w:tcW w:w="1600" w:type="dxa"/>
            <w:tcBorders>
              <w:top w:val="single" w:color="999999" w:sz="2" w:space="0"/>
              <w:left w:val="single" w:color="999999" w:sz="2" w:space="0"/>
              <w:bottom w:val="single" w:color="999999" w:sz="2" w:space="0"/>
              <w:right w:val="single" w:color="999999" w:sz="2" w:space="0"/>
            </w:tcBorders>
          </w:tcPr>
          <w:p w14:paraId="325C7814">
            <w:pPr>
              <w:jc w:val="left"/>
            </w:pPr>
            <w:r>
              <w:rPr>
                <w:b w:val="0"/>
                <w:bCs w:val="0"/>
                <w:sz w:val="18"/>
                <w:szCs w:val="18"/>
              </w:rPr>
              <w:t>37.8%</w:t>
            </w:r>
          </w:p>
        </w:tc>
        <w:tc>
          <w:tcPr>
            <w:tcW w:w="1600" w:type="dxa"/>
            <w:tcBorders>
              <w:top w:val="single" w:color="999999" w:sz="2" w:space="0"/>
              <w:left w:val="single" w:color="999999" w:sz="2" w:space="0"/>
              <w:bottom w:val="single" w:color="999999" w:sz="2" w:space="0"/>
              <w:right w:val="single" w:color="999999" w:sz="2" w:space="0"/>
            </w:tcBorders>
          </w:tcPr>
          <w:p w14:paraId="381DC8A6">
            <w:pPr>
              <w:jc w:val="left"/>
            </w:pPr>
            <w:r>
              <w:rPr>
                <w:b w:val="0"/>
                <w:bCs w:val="0"/>
                <w:sz w:val="18"/>
                <w:szCs w:val="18"/>
              </w:rPr>
              <w:t>-56.6%</w:t>
            </w:r>
          </w:p>
        </w:tc>
      </w:tr>
      <w:tr w14:paraId="25C91F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999999" w:sz="2" w:space="0"/>
              <w:left w:val="single" w:color="999999" w:sz="2" w:space="0"/>
              <w:bottom w:val="single" w:color="999999" w:sz="2" w:space="0"/>
              <w:right w:val="single" w:color="999999" w:sz="2" w:space="0"/>
            </w:tcBorders>
          </w:tcPr>
          <w:p w14:paraId="24D74F29">
            <w:pPr>
              <w:jc w:val="left"/>
            </w:pPr>
            <w:r>
              <w:rPr>
                <w:b w:val="0"/>
                <w:bCs w:val="0"/>
                <w:sz w:val="18"/>
                <w:szCs w:val="18"/>
              </w:rPr>
              <w:t>Hero MotoCorp</w:t>
            </w:r>
          </w:p>
        </w:tc>
        <w:tc>
          <w:tcPr>
            <w:tcW w:w="2000" w:type="dxa"/>
            <w:tcBorders>
              <w:top w:val="single" w:color="999999" w:sz="2" w:space="0"/>
              <w:left w:val="single" w:color="999999" w:sz="2" w:space="0"/>
              <w:bottom w:val="single" w:color="999999" w:sz="2" w:space="0"/>
              <w:right w:val="single" w:color="999999" w:sz="2" w:space="0"/>
            </w:tcBorders>
          </w:tcPr>
          <w:p w14:paraId="3F53B2BE">
            <w:pPr>
              <w:jc w:val="left"/>
            </w:pPr>
            <w:r>
              <w:rPr>
                <w:b w:val="0"/>
                <w:bCs w:val="0"/>
                <w:sz w:val="18"/>
                <w:szCs w:val="18"/>
              </w:rPr>
              <w:t>Auto</w:t>
            </w:r>
          </w:p>
        </w:tc>
        <w:tc>
          <w:tcPr>
            <w:tcW w:w="1600" w:type="dxa"/>
            <w:tcBorders>
              <w:top w:val="single" w:color="999999" w:sz="2" w:space="0"/>
              <w:left w:val="single" w:color="999999" w:sz="2" w:space="0"/>
              <w:bottom w:val="single" w:color="999999" w:sz="2" w:space="0"/>
              <w:right w:val="single" w:color="999999" w:sz="2" w:space="0"/>
            </w:tcBorders>
          </w:tcPr>
          <w:p w14:paraId="224F9097">
            <w:pPr>
              <w:jc w:val="left"/>
            </w:pPr>
            <w:r>
              <w:rPr>
                <w:b w:val="0"/>
                <w:bCs w:val="0"/>
                <w:sz w:val="18"/>
                <w:szCs w:val="18"/>
              </w:rPr>
              <w:t>+127.4%</w:t>
            </w:r>
          </w:p>
        </w:tc>
        <w:tc>
          <w:tcPr>
            <w:tcW w:w="1200" w:type="dxa"/>
            <w:tcBorders>
              <w:top w:val="single" w:color="999999" w:sz="2" w:space="0"/>
              <w:left w:val="single" w:color="999999" w:sz="2" w:space="0"/>
              <w:bottom w:val="single" w:color="999999" w:sz="2" w:space="0"/>
              <w:right w:val="single" w:color="999999" w:sz="2" w:space="0"/>
            </w:tcBorders>
          </w:tcPr>
          <w:p w14:paraId="2B663BAD">
            <w:pPr>
              <w:jc w:val="left"/>
            </w:pPr>
            <w:r>
              <w:rPr>
                <w:b w:val="0"/>
                <w:bCs w:val="0"/>
                <w:sz w:val="18"/>
                <w:szCs w:val="18"/>
              </w:rPr>
              <w:t>7.4%</w:t>
            </w:r>
          </w:p>
        </w:tc>
        <w:tc>
          <w:tcPr>
            <w:tcW w:w="1600" w:type="dxa"/>
            <w:tcBorders>
              <w:top w:val="single" w:color="999999" w:sz="2" w:space="0"/>
              <w:left w:val="single" w:color="999999" w:sz="2" w:space="0"/>
              <w:bottom w:val="single" w:color="999999" w:sz="2" w:space="0"/>
              <w:right w:val="single" w:color="999999" w:sz="2" w:space="0"/>
            </w:tcBorders>
          </w:tcPr>
          <w:p w14:paraId="5230141D">
            <w:pPr>
              <w:jc w:val="left"/>
            </w:pPr>
            <w:r>
              <w:rPr>
                <w:b w:val="0"/>
                <w:bCs w:val="0"/>
                <w:sz w:val="18"/>
                <w:szCs w:val="18"/>
              </w:rPr>
              <w:t>27.7%</w:t>
            </w:r>
          </w:p>
        </w:tc>
        <w:tc>
          <w:tcPr>
            <w:tcW w:w="1600" w:type="dxa"/>
            <w:tcBorders>
              <w:top w:val="single" w:color="999999" w:sz="2" w:space="0"/>
              <w:left w:val="single" w:color="999999" w:sz="2" w:space="0"/>
              <w:bottom w:val="single" w:color="999999" w:sz="2" w:space="0"/>
              <w:right w:val="single" w:color="999999" w:sz="2" w:space="0"/>
            </w:tcBorders>
          </w:tcPr>
          <w:p w14:paraId="7564EF12">
            <w:pPr>
              <w:jc w:val="left"/>
            </w:pPr>
            <w:r>
              <w:rPr>
                <w:b w:val="0"/>
                <w:bCs w:val="0"/>
                <w:sz w:val="18"/>
                <w:szCs w:val="18"/>
              </w:rPr>
              <w:t>-58.2%</w:t>
            </w:r>
          </w:p>
        </w:tc>
      </w:tr>
      <w:tr w14:paraId="6CCFB8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999999" w:sz="2" w:space="0"/>
              <w:left w:val="single" w:color="999999" w:sz="2" w:space="0"/>
              <w:bottom w:val="single" w:color="999999" w:sz="2" w:space="0"/>
              <w:right w:val="single" w:color="999999" w:sz="2" w:space="0"/>
            </w:tcBorders>
          </w:tcPr>
          <w:p w14:paraId="2FB72C35">
            <w:pPr>
              <w:jc w:val="left"/>
            </w:pPr>
            <w:r>
              <w:rPr>
                <w:b w:val="0"/>
                <w:bCs w:val="0"/>
                <w:sz w:val="18"/>
                <w:szCs w:val="18"/>
              </w:rPr>
              <w:t>TCS</w:t>
            </w:r>
          </w:p>
        </w:tc>
        <w:tc>
          <w:tcPr>
            <w:tcW w:w="2000" w:type="dxa"/>
            <w:tcBorders>
              <w:top w:val="single" w:color="999999" w:sz="2" w:space="0"/>
              <w:left w:val="single" w:color="999999" w:sz="2" w:space="0"/>
              <w:bottom w:val="single" w:color="999999" w:sz="2" w:space="0"/>
              <w:right w:val="single" w:color="999999" w:sz="2" w:space="0"/>
            </w:tcBorders>
          </w:tcPr>
          <w:p w14:paraId="6810DBD3">
            <w:pPr>
              <w:jc w:val="left"/>
            </w:pPr>
            <w:r>
              <w:rPr>
                <w:b w:val="0"/>
                <w:bCs w:val="0"/>
                <w:sz w:val="18"/>
                <w:szCs w:val="18"/>
              </w:rPr>
              <w:t>IT</w:t>
            </w:r>
          </w:p>
        </w:tc>
        <w:tc>
          <w:tcPr>
            <w:tcW w:w="1600" w:type="dxa"/>
            <w:tcBorders>
              <w:top w:val="single" w:color="999999" w:sz="2" w:space="0"/>
              <w:left w:val="single" w:color="999999" w:sz="2" w:space="0"/>
              <w:bottom w:val="single" w:color="999999" w:sz="2" w:space="0"/>
              <w:right w:val="single" w:color="999999" w:sz="2" w:space="0"/>
            </w:tcBorders>
          </w:tcPr>
          <w:p w14:paraId="0C6BAE49">
            <w:pPr>
              <w:jc w:val="left"/>
            </w:pPr>
            <w:r>
              <w:rPr>
                <w:b w:val="0"/>
                <w:bCs w:val="0"/>
                <w:sz w:val="18"/>
                <w:szCs w:val="18"/>
              </w:rPr>
              <w:t>+114.8%</w:t>
            </w:r>
          </w:p>
        </w:tc>
        <w:tc>
          <w:tcPr>
            <w:tcW w:w="1200" w:type="dxa"/>
            <w:tcBorders>
              <w:top w:val="single" w:color="999999" w:sz="2" w:space="0"/>
              <w:left w:val="single" w:color="999999" w:sz="2" w:space="0"/>
              <w:bottom w:val="single" w:color="999999" w:sz="2" w:space="0"/>
              <w:right w:val="single" w:color="999999" w:sz="2" w:space="0"/>
            </w:tcBorders>
          </w:tcPr>
          <w:p w14:paraId="4CA29C10">
            <w:pPr>
              <w:jc w:val="left"/>
            </w:pPr>
            <w:r>
              <w:rPr>
                <w:b w:val="0"/>
                <w:bCs w:val="0"/>
                <w:sz w:val="18"/>
                <w:szCs w:val="18"/>
              </w:rPr>
              <w:t>6.9%</w:t>
            </w:r>
          </w:p>
        </w:tc>
        <w:tc>
          <w:tcPr>
            <w:tcW w:w="1600" w:type="dxa"/>
            <w:tcBorders>
              <w:top w:val="single" w:color="999999" w:sz="2" w:space="0"/>
              <w:left w:val="single" w:color="999999" w:sz="2" w:space="0"/>
              <w:bottom w:val="single" w:color="999999" w:sz="2" w:space="0"/>
              <w:right w:val="single" w:color="999999" w:sz="2" w:space="0"/>
            </w:tcBorders>
          </w:tcPr>
          <w:p w14:paraId="6156DD86">
            <w:pPr>
              <w:jc w:val="left"/>
            </w:pPr>
            <w:r>
              <w:rPr>
                <w:b w:val="0"/>
                <w:bCs w:val="0"/>
                <w:sz w:val="18"/>
                <w:szCs w:val="18"/>
              </w:rPr>
              <w:t>23.7%</w:t>
            </w:r>
          </w:p>
        </w:tc>
        <w:tc>
          <w:tcPr>
            <w:tcW w:w="1600" w:type="dxa"/>
            <w:tcBorders>
              <w:top w:val="single" w:color="999999" w:sz="2" w:space="0"/>
              <w:left w:val="single" w:color="999999" w:sz="2" w:space="0"/>
              <w:bottom w:val="single" w:color="999999" w:sz="2" w:space="0"/>
              <w:right w:val="single" w:color="999999" w:sz="2" w:space="0"/>
            </w:tcBorders>
          </w:tcPr>
          <w:p w14:paraId="5859A5EC">
            <w:pPr>
              <w:jc w:val="left"/>
            </w:pPr>
            <w:r>
              <w:rPr>
                <w:b w:val="0"/>
                <w:bCs w:val="0"/>
                <w:sz w:val="18"/>
                <w:szCs w:val="18"/>
              </w:rPr>
              <w:t>-53.4%</w:t>
            </w:r>
          </w:p>
        </w:tc>
      </w:tr>
      <w:tr w14:paraId="01B66F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999999" w:sz="2" w:space="0"/>
              <w:left w:val="single" w:color="999999" w:sz="2" w:space="0"/>
              <w:bottom w:val="single" w:color="999999" w:sz="2" w:space="0"/>
              <w:right w:val="single" w:color="999999" w:sz="2" w:space="0"/>
            </w:tcBorders>
          </w:tcPr>
          <w:p w14:paraId="7315E1B9">
            <w:pPr>
              <w:jc w:val="left"/>
            </w:pPr>
            <w:r>
              <w:rPr>
                <w:b w:val="0"/>
                <w:bCs w:val="0"/>
                <w:sz w:val="18"/>
                <w:szCs w:val="18"/>
              </w:rPr>
              <w:t>Wipro</w:t>
            </w:r>
          </w:p>
        </w:tc>
        <w:tc>
          <w:tcPr>
            <w:tcW w:w="2000" w:type="dxa"/>
            <w:tcBorders>
              <w:top w:val="single" w:color="999999" w:sz="2" w:space="0"/>
              <w:left w:val="single" w:color="999999" w:sz="2" w:space="0"/>
              <w:bottom w:val="single" w:color="999999" w:sz="2" w:space="0"/>
              <w:right w:val="single" w:color="999999" w:sz="2" w:space="0"/>
            </w:tcBorders>
          </w:tcPr>
          <w:p w14:paraId="746AE634">
            <w:pPr>
              <w:jc w:val="left"/>
            </w:pPr>
            <w:r>
              <w:rPr>
                <w:b w:val="0"/>
                <w:bCs w:val="0"/>
                <w:sz w:val="18"/>
                <w:szCs w:val="18"/>
              </w:rPr>
              <w:t>IT</w:t>
            </w:r>
          </w:p>
        </w:tc>
        <w:tc>
          <w:tcPr>
            <w:tcW w:w="1600" w:type="dxa"/>
            <w:tcBorders>
              <w:top w:val="single" w:color="999999" w:sz="2" w:space="0"/>
              <w:left w:val="single" w:color="999999" w:sz="2" w:space="0"/>
              <w:bottom w:val="single" w:color="999999" w:sz="2" w:space="0"/>
              <w:right w:val="single" w:color="999999" w:sz="2" w:space="0"/>
            </w:tcBorders>
          </w:tcPr>
          <w:p w14:paraId="44881AAA">
            <w:pPr>
              <w:jc w:val="left"/>
            </w:pPr>
            <w:r>
              <w:rPr>
                <w:b w:val="0"/>
                <w:bCs w:val="0"/>
                <w:sz w:val="18"/>
                <w:szCs w:val="18"/>
              </w:rPr>
              <w:t>+89.8%</w:t>
            </w:r>
          </w:p>
        </w:tc>
        <w:tc>
          <w:tcPr>
            <w:tcW w:w="1200" w:type="dxa"/>
            <w:tcBorders>
              <w:top w:val="single" w:color="999999" w:sz="2" w:space="0"/>
              <w:left w:val="single" w:color="999999" w:sz="2" w:space="0"/>
              <w:bottom w:val="single" w:color="999999" w:sz="2" w:space="0"/>
              <w:right w:val="single" w:color="999999" w:sz="2" w:space="0"/>
            </w:tcBorders>
          </w:tcPr>
          <w:p w14:paraId="26263E9C">
            <w:pPr>
              <w:jc w:val="left"/>
            </w:pPr>
            <w:r>
              <w:rPr>
                <w:b w:val="0"/>
                <w:bCs w:val="0"/>
                <w:sz w:val="18"/>
                <w:szCs w:val="18"/>
              </w:rPr>
              <w:t>5.7%</w:t>
            </w:r>
          </w:p>
        </w:tc>
        <w:tc>
          <w:tcPr>
            <w:tcW w:w="1600" w:type="dxa"/>
            <w:tcBorders>
              <w:top w:val="single" w:color="999999" w:sz="2" w:space="0"/>
              <w:left w:val="single" w:color="999999" w:sz="2" w:space="0"/>
              <w:bottom w:val="single" w:color="999999" w:sz="2" w:space="0"/>
              <w:right w:val="single" w:color="999999" w:sz="2" w:space="0"/>
            </w:tcBorders>
          </w:tcPr>
          <w:p w14:paraId="50EEB9D9">
            <w:pPr>
              <w:jc w:val="left"/>
            </w:pPr>
            <w:r>
              <w:rPr>
                <w:b w:val="0"/>
                <w:bCs w:val="0"/>
                <w:sz w:val="18"/>
                <w:szCs w:val="18"/>
              </w:rPr>
              <w:t>25.8%</w:t>
            </w:r>
          </w:p>
        </w:tc>
        <w:tc>
          <w:tcPr>
            <w:tcW w:w="1600" w:type="dxa"/>
            <w:tcBorders>
              <w:top w:val="single" w:color="999999" w:sz="2" w:space="0"/>
              <w:left w:val="single" w:color="999999" w:sz="2" w:space="0"/>
              <w:bottom w:val="single" w:color="999999" w:sz="2" w:space="0"/>
              <w:right w:val="single" w:color="999999" w:sz="2" w:space="0"/>
            </w:tcBorders>
          </w:tcPr>
          <w:p w14:paraId="1CC6EFD5">
            <w:pPr>
              <w:jc w:val="left"/>
            </w:pPr>
            <w:r>
              <w:rPr>
                <w:b w:val="0"/>
                <w:bCs w:val="0"/>
                <w:sz w:val="18"/>
                <w:szCs w:val="18"/>
              </w:rPr>
              <w:t>-50.0%</w:t>
            </w:r>
          </w:p>
        </w:tc>
      </w:tr>
      <w:tr w14:paraId="282478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999999" w:sz="2" w:space="0"/>
              <w:left w:val="single" w:color="999999" w:sz="2" w:space="0"/>
              <w:bottom w:val="single" w:color="999999" w:sz="2" w:space="0"/>
              <w:right w:val="single" w:color="999999" w:sz="2" w:space="0"/>
            </w:tcBorders>
          </w:tcPr>
          <w:p w14:paraId="08914A76">
            <w:pPr>
              <w:jc w:val="left"/>
            </w:pPr>
            <w:r>
              <w:rPr>
                <w:b w:val="0"/>
                <w:bCs w:val="0"/>
                <w:sz w:val="18"/>
                <w:szCs w:val="18"/>
              </w:rPr>
              <w:t>Bank of Baroda</w:t>
            </w:r>
          </w:p>
        </w:tc>
        <w:tc>
          <w:tcPr>
            <w:tcW w:w="2000" w:type="dxa"/>
            <w:tcBorders>
              <w:top w:val="single" w:color="999999" w:sz="2" w:space="0"/>
              <w:left w:val="single" w:color="999999" w:sz="2" w:space="0"/>
              <w:bottom w:val="single" w:color="999999" w:sz="2" w:space="0"/>
              <w:right w:val="single" w:color="999999" w:sz="2" w:space="0"/>
            </w:tcBorders>
          </w:tcPr>
          <w:p w14:paraId="3B1989BD">
            <w:pPr>
              <w:jc w:val="left"/>
            </w:pPr>
            <w:r>
              <w:rPr>
                <w:b w:val="0"/>
                <w:bCs w:val="0"/>
                <w:sz w:val="18"/>
                <w:szCs w:val="18"/>
              </w:rPr>
              <w:t>Banking</w:t>
            </w:r>
          </w:p>
        </w:tc>
        <w:tc>
          <w:tcPr>
            <w:tcW w:w="1600" w:type="dxa"/>
            <w:tcBorders>
              <w:top w:val="single" w:color="999999" w:sz="2" w:space="0"/>
              <w:left w:val="single" w:color="999999" w:sz="2" w:space="0"/>
              <w:bottom w:val="single" w:color="999999" w:sz="2" w:space="0"/>
              <w:right w:val="single" w:color="999999" w:sz="2" w:space="0"/>
            </w:tcBorders>
          </w:tcPr>
          <w:p w14:paraId="1857D8C7">
            <w:pPr>
              <w:jc w:val="left"/>
            </w:pPr>
            <w:r>
              <w:rPr>
                <w:b w:val="0"/>
                <w:bCs w:val="0"/>
                <w:sz w:val="18"/>
                <w:szCs w:val="18"/>
              </w:rPr>
              <w:t>+37.3%</w:t>
            </w:r>
          </w:p>
        </w:tc>
        <w:tc>
          <w:tcPr>
            <w:tcW w:w="1200" w:type="dxa"/>
            <w:tcBorders>
              <w:top w:val="single" w:color="999999" w:sz="2" w:space="0"/>
              <w:left w:val="single" w:color="999999" w:sz="2" w:space="0"/>
              <w:bottom w:val="single" w:color="999999" w:sz="2" w:space="0"/>
              <w:right w:val="single" w:color="999999" w:sz="2" w:space="0"/>
            </w:tcBorders>
          </w:tcPr>
          <w:p w14:paraId="3B67AAAF">
            <w:pPr>
              <w:jc w:val="left"/>
            </w:pPr>
            <w:r>
              <w:rPr>
                <w:b w:val="0"/>
                <w:bCs w:val="0"/>
                <w:sz w:val="18"/>
                <w:szCs w:val="18"/>
              </w:rPr>
              <w:t>2.8%</w:t>
            </w:r>
          </w:p>
        </w:tc>
        <w:tc>
          <w:tcPr>
            <w:tcW w:w="1600" w:type="dxa"/>
            <w:tcBorders>
              <w:top w:val="single" w:color="999999" w:sz="2" w:space="0"/>
              <w:left w:val="single" w:color="999999" w:sz="2" w:space="0"/>
              <w:bottom w:val="single" w:color="999999" w:sz="2" w:space="0"/>
              <w:right w:val="single" w:color="999999" w:sz="2" w:space="0"/>
            </w:tcBorders>
          </w:tcPr>
          <w:p w14:paraId="6DAA39C0">
            <w:pPr>
              <w:jc w:val="left"/>
            </w:pPr>
            <w:r>
              <w:rPr>
                <w:b w:val="0"/>
                <w:bCs w:val="0"/>
                <w:sz w:val="18"/>
                <w:szCs w:val="18"/>
              </w:rPr>
              <w:t>41.4%</w:t>
            </w:r>
          </w:p>
        </w:tc>
        <w:tc>
          <w:tcPr>
            <w:tcW w:w="1600" w:type="dxa"/>
            <w:tcBorders>
              <w:top w:val="single" w:color="999999" w:sz="2" w:space="0"/>
              <w:left w:val="single" w:color="999999" w:sz="2" w:space="0"/>
              <w:bottom w:val="single" w:color="999999" w:sz="2" w:space="0"/>
              <w:right w:val="single" w:color="999999" w:sz="2" w:space="0"/>
            </w:tcBorders>
          </w:tcPr>
          <w:p w14:paraId="56FAC453">
            <w:pPr>
              <w:jc w:val="left"/>
            </w:pPr>
            <w:r>
              <w:rPr>
                <w:b w:val="0"/>
                <w:bCs w:val="0"/>
                <w:sz w:val="18"/>
                <w:szCs w:val="18"/>
              </w:rPr>
              <w:t>-83.3%</w:t>
            </w:r>
          </w:p>
        </w:tc>
      </w:tr>
    </w:tbl>
    <w:p w14:paraId="586514EA">
      <w:pPr>
        <w:spacing w:after="160"/>
      </w:pPr>
      <w:r>
        <w:rPr>
          <w:b w:val="0"/>
          <w:bCs w:val="0"/>
          <w:i/>
          <w:iCs/>
        </w:rPr>
        <w:t>Note: figures are based on closing prices adjusted for the stock splits recorded in the data (e.g. TCS, Infosys, Wipro, HDFC Bank and Reliance all split their shares at least once over the period).</w:t>
      </w:r>
    </w:p>
    <w:p w14:paraId="30238A11">
      <w:pPr>
        <w:pStyle w:val="2"/>
        <w:spacing w:before="320" w:after="160"/>
      </w:pPr>
      <w:r>
        <w:t>3. Sector by sector: who actually delivered</w:t>
      </w:r>
    </w:p>
    <w:p w14:paraId="6AE35C88">
      <w:pPr>
        <w:spacing w:after="160"/>
      </w:pPr>
      <w:r>
        <w:rPr>
          <w:b w:val="0"/>
          <w:bCs w:val="0"/>
          <w:i w:val="0"/>
          <w:iCs w:val="0"/>
        </w:rPr>
        <w:t>Grouping the same numbers by sector sharpens the picture:</w:t>
      </w:r>
    </w:p>
    <w:tbl>
      <w:tblPr>
        <w:tblStyle w:val="9"/>
        <w:tblW w:w="10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2000"/>
        <w:gridCol w:w="1600"/>
        <w:gridCol w:w="1600"/>
        <w:gridCol w:w="1800"/>
      </w:tblGrid>
      <w:tr w14:paraId="7D37BC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000" w:type="dxa"/>
            <w:tcBorders>
              <w:top w:val="single" w:color="999999" w:sz="2" w:space="0"/>
              <w:left w:val="single" w:color="999999" w:sz="2" w:space="0"/>
              <w:bottom w:val="single" w:color="999999" w:sz="2" w:space="0"/>
              <w:right w:val="single" w:color="999999" w:sz="2" w:space="0"/>
            </w:tcBorders>
            <w:shd w:val="clear" w:color="auto" w:fill="EAEAEA"/>
          </w:tcPr>
          <w:p w14:paraId="77B2DAC5">
            <w:r>
              <w:rPr>
                <w:b/>
                <w:bCs/>
                <w:sz w:val="18"/>
                <w:szCs w:val="18"/>
              </w:rPr>
              <w:t>Sector</w:t>
            </w:r>
          </w:p>
        </w:tc>
        <w:tc>
          <w:tcPr>
            <w:tcW w:w="2000" w:type="dxa"/>
            <w:tcBorders>
              <w:top w:val="single" w:color="999999" w:sz="2" w:space="0"/>
              <w:left w:val="single" w:color="999999" w:sz="2" w:space="0"/>
              <w:bottom w:val="single" w:color="999999" w:sz="2" w:space="0"/>
              <w:right w:val="single" w:color="999999" w:sz="2" w:space="0"/>
            </w:tcBorders>
            <w:shd w:val="clear" w:color="auto" w:fill="EAEAEA"/>
          </w:tcPr>
          <w:p w14:paraId="4DE6E349">
            <w:r>
              <w:rPr>
                <w:b/>
                <w:bCs/>
                <w:sz w:val="18"/>
                <w:szCs w:val="18"/>
              </w:rPr>
              <w:t>Avg Total Return</w:t>
            </w:r>
          </w:p>
        </w:tc>
        <w:tc>
          <w:tcPr>
            <w:tcW w:w="1600" w:type="dxa"/>
            <w:tcBorders>
              <w:top w:val="single" w:color="999999" w:sz="2" w:space="0"/>
              <w:left w:val="single" w:color="999999" w:sz="2" w:space="0"/>
              <w:bottom w:val="single" w:color="999999" w:sz="2" w:space="0"/>
              <w:right w:val="single" w:color="999999" w:sz="2" w:space="0"/>
            </w:tcBorders>
            <w:shd w:val="clear" w:color="auto" w:fill="EAEAEA"/>
          </w:tcPr>
          <w:p w14:paraId="3628F787">
            <w:r>
              <w:rPr>
                <w:b/>
                <w:bCs/>
                <w:sz w:val="18"/>
                <w:szCs w:val="18"/>
              </w:rPr>
              <w:t>Avg CAGR</w:t>
            </w:r>
          </w:p>
        </w:tc>
        <w:tc>
          <w:tcPr>
            <w:tcW w:w="1600" w:type="dxa"/>
            <w:tcBorders>
              <w:top w:val="single" w:color="999999" w:sz="2" w:space="0"/>
              <w:left w:val="single" w:color="999999" w:sz="2" w:space="0"/>
              <w:bottom w:val="single" w:color="999999" w:sz="2" w:space="0"/>
              <w:right w:val="single" w:color="999999" w:sz="2" w:space="0"/>
            </w:tcBorders>
            <w:shd w:val="clear" w:color="auto" w:fill="EAEAEA"/>
          </w:tcPr>
          <w:p w14:paraId="0AA5E82D">
            <w:r>
              <w:rPr>
                <w:b/>
                <w:bCs/>
                <w:sz w:val="18"/>
                <w:szCs w:val="18"/>
              </w:rPr>
              <w:t>Avg Volatility</w:t>
            </w:r>
          </w:p>
        </w:tc>
        <w:tc>
          <w:tcPr>
            <w:tcW w:w="1800" w:type="dxa"/>
            <w:tcBorders>
              <w:top w:val="single" w:color="999999" w:sz="2" w:space="0"/>
              <w:left w:val="single" w:color="999999" w:sz="2" w:space="0"/>
              <w:bottom w:val="single" w:color="999999" w:sz="2" w:space="0"/>
              <w:right w:val="single" w:color="999999" w:sz="2" w:space="0"/>
            </w:tcBorders>
            <w:shd w:val="clear" w:color="auto" w:fill="EAEAEA"/>
          </w:tcPr>
          <w:p w14:paraId="2738BEC8">
            <w:r>
              <w:rPr>
                <w:b/>
                <w:bCs/>
                <w:sz w:val="18"/>
                <w:szCs w:val="18"/>
              </w:rPr>
              <w:t>Avg Max Drawdown</w:t>
            </w:r>
          </w:p>
        </w:tc>
      </w:tr>
      <w:tr w14:paraId="1F7E6B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999999" w:sz="2" w:space="0"/>
              <w:left w:val="single" w:color="999999" w:sz="2" w:space="0"/>
              <w:bottom w:val="single" w:color="999999" w:sz="2" w:space="0"/>
              <w:right w:val="single" w:color="999999" w:sz="2" w:space="0"/>
            </w:tcBorders>
          </w:tcPr>
          <w:p w14:paraId="1082E2A2">
            <w:pPr>
              <w:jc w:val="left"/>
            </w:pPr>
            <w:r>
              <w:rPr>
                <w:b w:val="0"/>
                <w:bCs w:val="0"/>
                <w:sz w:val="18"/>
                <w:szCs w:val="18"/>
              </w:rPr>
              <w:t>Energy/Conglomerate (Reliance)</w:t>
            </w:r>
          </w:p>
        </w:tc>
        <w:tc>
          <w:tcPr>
            <w:tcW w:w="2000" w:type="dxa"/>
            <w:tcBorders>
              <w:top w:val="single" w:color="999999" w:sz="2" w:space="0"/>
              <w:left w:val="single" w:color="999999" w:sz="2" w:space="0"/>
              <w:bottom w:val="single" w:color="999999" w:sz="2" w:space="0"/>
              <w:right w:val="single" w:color="999999" w:sz="2" w:space="0"/>
            </w:tcBorders>
          </w:tcPr>
          <w:p w14:paraId="5E424048">
            <w:pPr>
              <w:jc w:val="left"/>
            </w:pPr>
            <w:r>
              <w:rPr>
                <w:b w:val="0"/>
                <w:bCs w:val="0"/>
                <w:sz w:val="18"/>
                <w:szCs w:val="18"/>
              </w:rPr>
              <w:t>+591.8%</w:t>
            </w:r>
          </w:p>
        </w:tc>
        <w:tc>
          <w:tcPr>
            <w:tcW w:w="1600" w:type="dxa"/>
            <w:tcBorders>
              <w:top w:val="single" w:color="999999" w:sz="2" w:space="0"/>
              <w:left w:val="single" w:color="999999" w:sz="2" w:space="0"/>
              <w:bottom w:val="single" w:color="999999" w:sz="2" w:space="0"/>
              <w:right w:val="single" w:color="999999" w:sz="2" w:space="0"/>
            </w:tcBorders>
          </w:tcPr>
          <w:p w14:paraId="4E2CFB5A">
            <w:pPr>
              <w:jc w:val="left"/>
            </w:pPr>
            <w:r>
              <w:rPr>
                <w:b w:val="0"/>
                <w:bCs w:val="0"/>
                <w:sz w:val="18"/>
                <w:szCs w:val="18"/>
              </w:rPr>
              <w:t>18.3%</w:t>
            </w:r>
          </w:p>
        </w:tc>
        <w:tc>
          <w:tcPr>
            <w:tcW w:w="1600" w:type="dxa"/>
            <w:tcBorders>
              <w:top w:val="single" w:color="999999" w:sz="2" w:space="0"/>
              <w:left w:val="single" w:color="999999" w:sz="2" w:space="0"/>
              <w:bottom w:val="single" w:color="999999" w:sz="2" w:space="0"/>
              <w:right w:val="single" w:color="999999" w:sz="2" w:space="0"/>
            </w:tcBorders>
          </w:tcPr>
          <w:p w14:paraId="5FB42F6F">
            <w:pPr>
              <w:jc w:val="left"/>
            </w:pPr>
            <w:r>
              <w:rPr>
                <w:b w:val="0"/>
                <w:bCs w:val="0"/>
                <w:sz w:val="18"/>
                <w:szCs w:val="18"/>
              </w:rPr>
              <w:t>27.0%</w:t>
            </w:r>
          </w:p>
        </w:tc>
        <w:tc>
          <w:tcPr>
            <w:tcW w:w="1800" w:type="dxa"/>
            <w:tcBorders>
              <w:top w:val="single" w:color="999999" w:sz="2" w:space="0"/>
              <w:left w:val="single" w:color="999999" w:sz="2" w:space="0"/>
              <w:bottom w:val="single" w:color="999999" w:sz="2" w:space="0"/>
              <w:right w:val="single" w:color="999999" w:sz="2" w:space="0"/>
            </w:tcBorders>
          </w:tcPr>
          <w:p w14:paraId="4A8C851C">
            <w:pPr>
              <w:jc w:val="left"/>
            </w:pPr>
            <w:r>
              <w:rPr>
                <w:b w:val="0"/>
                <w:bCs w:val="0"/>
                <w:sz w:val="18"/>
                <w:szCs w:val="18"/>
              </w:rPr>
              <w:t>-45.1%</w:t>
            </w:r>
          </w:p>
        </w:tc>
      </w:tr>
      <w:tr w14:paraId="7F6B3A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999999" w:sz="2" w:space="0"/>
              <w:left w:val="single" w:color="999999" w:sz="2" w:space="0"/>
              <w:bottom w:val="single" w:color="999999" w:sz="2" w:space="0"/>
              <w:right w:val="single" w:color="999999" w:sz="2" w:space="0"/>
            </w:tcBorders>
          </w:tcPr>
          <w:p w14:paraId="59373C5E">
            <w:pPr>
              <w:jc w:val="left"/>
            </w:pPr>
            <w:r>
              <w:rPr>
                <w:b w:val="0"/>
                <w:bCs w:val="0"/>
                <w:sz w:val="18"/>
                <w:szCs w:val="18"/>
              </w:rPr>
              <w:t>Banking</w:t>
            </w:r>
          </w:p>
        </w:tc>
        <w:tc>
          <w:tcPr>
            <w:tcW w:w="2000" w:type="dxa"/>
            <w:tcBorders>
              <w:top w:val="single" w:color="999999" w:sz="2" w:space="0"/>
              <w:left w:val="single" w:color="999999" w:sz="2" w:space="0"/>
              <w:bottom w:val="single" w:color="999999" w:sz="2" w:space="0"/>
              <w:right w:val="single" w:color="999999" w:sz="2" w:space="0"/>
            </w:tcBorders>
          </w:tcPr>
          <w:p w14:paraId="29EA9CDB">
            <w:pPr>
              <w:jc w:val="left"/>
            </w:pPr>
            <w:r>
              <w:rPr>
                <w:b w:val="0"/>
                <w:bCs w:val="0"/>
                <w:sz w:val="18"/>
                <w:szCs w:val="18"/>
              </w:rPr>
              <w:t>+231.9%</w:t>
            </w:r>
          </w:p>
        </w:tc>
        <w:tc>
          <w:tcPr>
            <w:tcW w:w="1600" w:type="dxa"/>
            <w:tcBorders>
              <w:top w:val="single" w:color="999999" w:sz="2" w:space="0"/>
              <w:left w:val="single" w:color="999999" w:sz="2" w:space="0"/>
              <w:bottom w:val="single" w:color="999999" w:sz="2" w:space="0"/>
              <w:right w:val="single" w:color="999999" w:sz="2" w:space="0"/>
            </w:tcBorders>
          </w:tcPr>
          <w:p w14:paraId="4677B7DA">
            <w:pPr>
              <w:jc w:val="left"/>
            </w:pPr>
            <w:r>
              <w:rPr>
                <w:b w:val="0"/>
                <w:bCs w:val="0"/>
                <w:sz w:val="18"/>
                <w:szCs w:val="18"/>
              </w:rPr>
              <w:t>10.3%</w:t>
            </w:r>
          </w:p>
        </w:tc>
        <w:tc>
          <w:tcPr>
            <w:tcW w:w="1600" w:type="dxa"/>
            <w:tcBorders>
              <w:top w:val="single" w:color="999999" w:sz="2" w:space="0"/>
              <w:left w:val="single" w:color="999999" w:sz="2" w:space="0"/>
              <w:bottom w:val="single" w:color="999999" w:sz="2" w:space="0"/>
              <w:right w:val="single" w:color="999999" w:sz="2" w:space="0"/>
            </w:tcBorders>
          </w:tcPr>
          <w:p w14:paraId="2C84AFBF">
            <w:pPr>
              <w:jc w:val="left"/>
            </w:pPr>
            <w:r>
              <w:rPr>
                <w:b w:val="0"/>
                <w:bCs w:val="0"/>
                <w:sz w:val="18"/>
                <w:szCs w:val="18"/>
              </w:rPr>
              <w:t>31.8%</w:t>
            </w:r>
          </w:p>
        </w:tc>
        <w:tc>
          <w:tcPr>
            <w:tcW w:w="1800" w:type="dxa"/>
            <w:tcBorders>
              <w:top w:val="single" w:color="999999" w:sz="2" w:space="0"/>
              <w:left w:val="single" w:color="999999" w:sz="2" w:space="0"/>
              <w:bottom w:val="single" w:color="999999" w:sz="2" w:space="0"/>
              <w:right w:val="single" w:color="999999" w:sz="2" w:space="0"/>
            </w:tcBorders>
          </w:tcPr>
          <w:p w14:paraId="273E5012">
            <w:pPr>
              <w:jc w:val="left"/>
            </w:pPr>
            <w:r>
              <w:rPr>
                <w:b w:val="0"/>
                <w:bCs w:val="0"/>
                <w:sz w:val="18"/>
                <w:szCs w:val="18"/>
              </w:rPr>
              <w:t>-59.7%</w:t>
            </w:r>
          </w:p>
        </w:tc>
      </w:tr>
      <w:tr w14:paraId="3F44E3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999999" w:sz="2" w:space="0"/>
              <w:left w:val="single" w:color="999999" w:sz="2" w:space="0"/>
              <w:bottom w:val="single" w:color="999999" w:sz="2" w:space="0"/>
              <w:right w:val="single" w:color="999999" w:sz="2" w:space="0"/>
            </w:tcBorders>
          </w:tcPr>
          <w:p w14:paraId="3B0C4F3B">
            <w:pPr>
              <w:jc w:val="left"/>
            </w:pPr>
            <w:r>
              <w:rPr>
                <w:b w:val="0"/>
                <w:bCs w:val="0"/>
                <w:sz w:val="18"/>
                <w:szCs w:val="18"/>
              </w:rPr>
              <w:t>Auto</w:t>
            </w:r>
          </w:p>
        </w:tc>
        <w:tc>
          <w:tcPr>
            <w:tcW w:w="2000" w:type="dxa"/>
            <w:tcBorders>
              <w:top w:val="single" w:color="999999" w:sz="2" w:space="0"/>
              <w:left w:val="single" w:color="999999" w:sz="2" w:space="0"/>
              <w:bottom w:val="single" w:color="999999" w:sz="2" w:space="0"/>
              <w:right w:val="single" w:color="999999" w:sz="2" w:space="0"/>
            </w:tcBorders>
          </w:tcPr>
          <w:p w14:paraId="25CC785C">
            <w:pPr>
              <w:jc w:val="left"/>
            </w:pPr>
            <w:r>
              <w:rPr>
                <w:b w:val="0"/>
                <w:bCs w:val="0"/>
                <w:sz w:val="18"/>
                <w:szCs w:val="18"/>
              </w:rPr>
              <w:t>+175.8%</w:t>
            </w:r>
          </w:p>
        </w:tc>
        <w:tc>
          <w:tcPr>
            <w:tcW w:w="1600" w:type="dxa"/>
            <w:tcBorders>
              <w:top w:val="single" w:color="999999" w:sz="2" w:space="0"/>
              <w:left w:val="single" w:color="999999" w:sz="2" w:space="0"/>
              <w:bottom w:val="single" w:color="999999" w:sz="2" w:space="0"/>
              <w:right w:val="single" w:color="999999" w:sz="2" w:space="0"/>
            </w:tcBorders>
          </w:tcPr>
          <w:p w14:paraId="42A8F69C">
            <w:pPr>
              <w:jc w:val="left"/>
            </w:pPr>
            <w:r>
              <w:rPr>
                <w:b w:val="0"/>
                <w:bCs w:val="0"/>
                <w:sz w:val="18"/>
                <w:szCs w:val="18"/>
              </w:rPr>
              <w:t>20.7%</w:t>
            </w:r>
          </w:p>
        </w:tc>
        <w:tc>
          <w:tcPr>
            <w:tcW w:w="1600" w:type="dxa"/>
            <w:tcBorders>
              <w:top w:val="single" w:color="999999" w:sz="2" w:space="0"/>
              <w:left w:val="single" w:color="999999" w:sz="2" w:space="0"/>
              <w:bottom w:val="single" w:color="999999" w:sz="2" w:space="0"/>
              <w:right w:val="single" w:color="999999" w:sz="2" w:space="0"/>
            </w:tcBorders>
          </w:tcPr>
          <w:p w14:paraId="629A0D59">
            <w:pPr>
              <w:jc w:val="left"/>
            </w:pPr>
            <w:r>
              <w:rPr>
                <w:b w:val="0"/>
                <w:bCs w:val="0"/>
                <w:sz w:val="18"/>
                <w:szCs w:val="18"/>
              </w:rPr>
              <w:t>33.5%</w:t>
            </w:r>
          </w:p>
        </w:tc>
        <w:tc>
          <w:tcPr>
            <w:tcW w:w="1800" w:type="dxa"/>
            <w:tcBorders>
              <w:top w:val="single" w:color="999999" w:sz="2" w:space="0"/>
              <w:left w:val="single" w:color="999999" w:sz="2" w:space="0"/>
              <w:bottom w:val="single" w:color="999999" w:sz="2" w:space="0"/>
              <w:right w:val="single" w:color="999999" w:sz="2" w:space="0"/>
            </w:tcBorders>
          </w:tcPr>
          <w:p w14:paraId="250FFC85">
            <w:pPr>
              <w:jc w:val="left"/>
            </w:pPr>
            <w:r>
              <w:rPr>
                <w:b w:val="0"/>
                <w:bCs w:val="0"/>
                <w:sz w:val="18"/>
                <w:szCs w:val="18"/>
              </w:rPr>
              <w:t>-50.5%</w:t>
            </w:r>
          </w:p>
        </w:tc>
      </w:tr>
      <w:tr w14:paraId="289794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999999" w:sz="2" w:space="0"/>
              <w:left w:val="single" w:color="999999" w:sz="2" w:space="0"/>
              <w:bottom w:val="single" w:color="999999" w:sz="2" w:space="0"/>
              <w:right w:val="single" w:color="999999" w:sz="2" w:space="0"/>
            </w:tcBorders>
          </w:tcPr>
          <w:p w14:paraId="48DC44B6">
            <w:pPr>
              <w:jc w:val="left"/>
            </w:pPr>
            <w:r>
              <w:rPr>
                <w:b w:val="0"/>
                <w:bCs w:val="0"/>
                <w:sz w:val="18"/>
                <w:szCs w:val="18"/>
              </w:rPr>
              <w:t>IT Services</w:t>
            </w:r>
          </w:p>
        </w:tc>
        <w:tc>
          <w:tcPr>
            <w:tcW w:w="2000" w:type="dxa"/>
            <w:tcBorders>
              <w:top w:val="single" w:color="999999" w:sz="2" w:space="0"/>
              <w:left w:val="single" w:color="999999" w:sz="2" w:space="0"/>
              <w:bottom w:val="single" w:color="999999" w:sz="2" w:space="0"/>
              <w:right w:val="single" w:color="999999" w:sz="2" w:space="0"/>
            </w:tcBorders>
          </w:tcPr>
          <w:p w14:paraId="34E1EEA8">
            <w:pPr>
              <w:jc w:val="left"/>
            </w:pPr>
            <w:r>
              <w:rPr>
                <w:b w:val="0"/>
                <w:bCs w:val="0"/>
                <w:sz w:val="18"/>
                <w:szCs w:val="18"/>
              </w:rPr>
              <w:t>+134.1%</w:t>
            </w:r>
          </w:p>
        </w:tc>
        <w:tc>
          <w:tcPr>
            <w:tcW w:w="1600" w:type="dxa"/>
            <w:tcBorders>
              <w:top w:val="single" w:color="999999" w:sz="2" w:space="0"/>
              <w:left w:val="single" w:color="999999" w:sz="2" w:space="0"/>
              <w:bottom w:val="single" w:color="999999" w:sz="2" w:space="0"/>
              <w:right w:val="single" w:color="999999" w:sz="2" w:space="0"/>
            </w:tcBorders>
          </w:tcPr>
          <w:p w14:paraId="5376919A">
            <w:pPr>
              <w:jc w:val="left"/>
            </w:pPr>
            <w:r>
              <w:rPr>
                <w:b w:val="0"/>
                <w:bCs w:val="0"/>
                <w:sz w:val="18"/>
                <w:szCs w:val="18"/>
              </w:rPr>
              <w:t>7.5%</w:t>
            </w:r>
          </w:p>
        </w:tc>
        <w:tc>
          <w:tcPr>
            <w:tcW w:w="1600" w:type="dxa"/>
            <w:tcBorders>
              <w:top w:val="single" w:color="999999" w:sz="2" w:space="0"/>
              <w:left w:val="single" w:color="999999" w:sz="2" w:space="0"/>
              <w:bottom w:val="single" w:color="999999" w:sz="2" w:space="0"/>
              <w:right w:val="single" w:color="999999" w:sz="2" w:space="0"/>
            </w:tcBorders>
          </w:tcPr>
          <w:p w14:paraId="1A721934">
            <w:pPr>
              <w:jc w:val="left"/>
            </w:pPr>
            <w:r>
              <w:rPr>
                <w:b w:val="0"/>
                <w:bCs w:val="0"/>
                <w:sz w:val="18"/>
                <w:szCs w:val="18"/>
              </w:rPr>
              <w:t>25.4%</w:t>
            </w:r>
          </w:p>
        </w:tc>
        <w:tc>
          <w:tcPr>
            <w:tcW w:w="1800" w:type="dxa"/>
            <w:tcBorders>
              <w:top w:val="single" w:color="999999" w:sz="2" w:space="0"/>
              <w:left w:val="single" w:color="999999" w:sz="2" w:space="0"/>
              <w:bottom w:val="single" w:color="999999" w:sz="2" w:space="0"/>
              <w:right w:val="single" w:color="999999" w:sz="2" w:space="0"/>
            </w:tcBorders>
          </w:tcPr>
          <w:p w14:paraId="4509DE08">
            <w:pPr>
              <w:jc w:val="left"/>
            </w:pPr>
            <w:r>
              <w:rPr>
                <w:b w:val="0"/>
                <w:bCs w:val="0"/>
                <w:sz w:val="18"/>
                <w:szCs w:val="18"/>
              </w:rPr>
              <w:t>-50.5%</w:t>
            </w:r>
          </w:p>
        </w:tc>
      </w:tr>
    </w:tbl>
    <w:p w14:paraId="4E568035">
      <w:pPr>
        <w:spacing w:after="160"/>
      </w:pPr>
      <w:r>
        <w:rPr>
          <w:b w:val="0"/>
          <w:bCs w:val="0"/>
          <w:i w:val="0"/>
          <w:iCs w:val="0"/>
        </w:rPr>
        <w:t>Three things stand out here:</w:t>
      </w:r>
    </w:p>
    <w:p w14:paraId="0405F2CB">
      <w:pPr>
        <w:pStyle w:val="16"/>
        <w:numPr>
          <w:ilvl w:val="0"/>
          <w:numId w:val="1"/>
        </w:numPr>
        <w:spacing w:after="80"/>
      </w:pPr>
      <w:r>
        <w:t xml:space="preserve">Reliance is in a category of its own. As the only conglomerate in the set, it delivered the highest return with mid-pack volatility </w:t>
      </w:r>
      <w:r>
        <w:rPr>
          <w:lang w:val="en-US"/>
        </w:rPr>
        <w:t>-</w:t>
      </w:r>
      <w:r>
        <w:t xml:space="preserve"> a rare combination that pulled the whole portfolio's average upward almost single-handedly.</w:t>
      </w:r>
    </w:p>
    <w:p w14:paraId="6571D791">
      <w:pPr>
        <w:pStyle w:val="16"/>
        <w:numPr>
          <w:ilvl w:val="0"/>
          <w:numId w:val="1"/>
        </w:numPr>
        <w:spacing w:after="80"/>
      </w:pPr>
      <w:r>
        <w:t xml:space="preserve">Banking produced strong average returns but came with the deepest </w:t>
      </w:r>
      <w:r>
        <w:rPr>
          <w:lang w:val="en-US"/>
        </w:rPr>
        <w:t>draw downs</w:t>
      </w:r>
      <w:r>
        <w:t xml:space="preserve"> and highest volatility of any group besides Auto. This is a sector where the upside was real, but so was the stomach-churning ride to get there.</w:t>
      </w:r>
    </w:p>
    <w:p w14:paraId="012DA999">
      <w:pPr>
        <w:pStyle w:val="16"/>
        <w:numPr>
          <w:ilvl w:val="0"/>
          <w:numId w:val="1"/>
        </w:numPr>
        <w:spacing w:after="80"/>
      </w:pPr>
      <w:r>
        <w:t xml:space="preserve">IT services was the steadiest sector </w:t>
      </w:r>
      <w:r>
        <w:rPr>
          <w:lang w:val="en-US"/>
        </w:rPr>
        <w:t>-</w:t>
      </w:r>
      <w:r>
        <w:t xml:space="preserve"> lo</w:t>
      </w:r>
      <w:r>
        <w:rPr>
          <w:rFonts w:hint="default"/>
          <w:lang w:val="en-US"/>
        </w:rPr>
        <w:t>we</w:t>
      </w:r>
      <w:r>
        <w:t>st volatility, most moderate draw</w:t>
      </w:r>
      <w:r>
        <w:rPr>
          <w:rFonts w:hint="default"/>
          <w:lang w:val="en-US"/>
        </w:rPr>
        <w:t xml:space="preserve"> </w:t>
      </w:r>
      <w:r>
        <w:t xml:space="preserve">downs </w:t>
      </w:r>
      <w:r>
        <w:rPr>
          <w:lang w:val="en-US"/>
        </w:rPr>
        <w:t>-</w:t>
      </w:r>
      <w:r>
        <w:t xml:space="preserve"> but also the </w:t>
      </w:r>
      <w:r>
        <w:rPr>
          <w:lang w:val="en-US"/>
        </w:rPr>
        <w:t>I</w:t>
      </w:r>
      <w:r>
        <w:t>a</w:t>
      </w:r>
      <w:r>
        <w:rPr>
          <w:rFonts w:hint="default"/>
          <w:lang w:val="en-US"/>
        </w:rPr>
        <w:t>rgest</w:t>
      </w:r>
      <w:r>
        <w:t xml:space="preserve"> average return. IT looked like the "boring but safe" allocation for most of this period. As Section 5 shows, that changed sharply in the most recent year.</w:t>
      </w:r>
    </w:p>
    <w:p w14:paraId="64E2384C">
      <w:pPr>
        <w:pStyle w:val="2"/>
        <w:spacing w:before="320" w:after="160"/>
      </w:pPr>
      <w:r>
        <w:t>4. Risk: the 2020 shock hit every stock, but not equally</w:t>
      </w:r>
    </w:p>
    <w:p w14:paraId="3BB9CE2B">
      <w:pPr>
        <w:spacing w:after="160"/>
      </w:pPr>
      <w:r>
        <w:rPr>
          <w:b w:val="0"/>
          <w:bCs w:val="0"/>
          <w:i w:val="0"/>
          <w:iCs w:val="0"/>
        </w:rPr>
        <w:t>The dataset captures the COVID-19 market shock in the first four months of 2020, and it is a useful stress test of how each stock actually behaves under pressure rather than just how it performs on average. Every single stock fell during this window, but the size of the fall split cleanly along sector lines.</w:t>
      </w:r>
    </w:p>
    <w:tbl>
      <w:tblPr>
        <w:tblStyle w:val="9"/>
        <w:tblW w:w="8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200"/>
        <w:gridCol w:w="2200"/>
        <w:gridCol w:w="2600"/>
      </w:tblGrid>
      <w:tr w14:paraId="12E393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trPr>
        <w:tc>
          <w:tcPr>
            <w:tcW w:w="3200" w:type="dxa"/>
            <w:tcBorders>
              <w:top w:val="single" w:color="999999" w:sz="2" w:space="0"/>
              <w:left w:val="single" w:color="999999" w:sz="2" w:space="0"/>
              <w:bottom w:val="single" w:color="999999" w:sz="2" w:space="0"/>
              <w:right w:val="single" w:color="999999" w:sz="2" w:space="0"/>
            </w:tcBorders>
            <w:shd w:val="clear" w:color="auto" w:fill="EAEAEA"/>
          </w:tcPr>
          <w:p w14:paraId="4016ECB9">
            <w:r>
              <w:rPr>
                <w:b/>
                <w:bCs/>
                <w:sz w:val="18"/>
                <w:szCs w:val="18"/>
              </w:rPr>
              <w:t>Company</w:t>
            </w:r>
          </w:p>
        </w:tc>
        <w:tc>
          <w:tcPr>
            <w:tcW w:w="2200" w:type="dxa"/>
            <w:tcBorders>
              <w:top w:val="single" w:color="999999" w:sz="2" w:space="0"/>
              <w:left w:val="single" w:color="999999" w:sz="2" w:space="0"/>
              <w:bottom w:val="single" w:color="999999" w:sz="2" w:space="0"/>
              <w:right w:val="single" w:color="999999" w:sz="2" w:space="0"/>
            </w:tcBorders>
            <w:shd w:val="clear" w:color="auto" w:fill="EAEAEA"/>
          </w:tcPr>
          <w:p w14:paraId="4F531715">
            <w:r>
              <w:rPr>
                <w:b/>
                <w:bCs/>
                <w:sz w:val="18"/>
                <w:szCs w:val="18"/>
              </w:rPr>
              <w:t>Sector</w:t>
            </w:r>
          </w:p>
        </w:tc>
        <w:tc>
          <w:tcPr>
            <w:tcW w:w="2600" w:type="dxa"/>
            <w:tcBorders>
              <w:top w:val="single" w:color="999999" w:sz="2" w:space="0"/>
              <w:left w:val="single" w:color="999999" w:sz="2" w:space="0"/>
              <w:bottom w:val="single" w:color="999999" w:sz="2" w:space="0"/>
              <w:right w:val="single" w:color="999999" w:sz="2" w:space="0"/>
            </w:tcBorders>
            <w:shd w:val="clear" w:color="auto" w:fill="EAEAEA"/>
          </w:tcPr>
          <w:p w14:paraId="3B4D7A76">
            <w:r>
              <w:rPr>
                <w:b/>
                <w:bCs/>
                <w:sz w:val="18"/>
                <w:szCs w:val="18"/>
              </w:rPr>
              <w:t>Peak-to-trough fall (Jan–Apr 2020)</w:t>
            </w:r>
          </w:p>
        </w:tc>
      </w:tr>
      <w:tr w14:paraId="5E2C42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999999" w:sz="2" w:space="0"/>
              <w:left w:val="single" w:color="999999" w:sz="2" w:space="0"/>
              <w:bottom w:val="single" w:color="999999" w:sz="2" w:space="0"/>
              <w:right w:val="single" w:color="999999" w:sz="2" w:space="0"/>
            </w:tcBorders>
          </w:tcPr>
          <w:p w14:paraId="7246E858">
            <w:pPr>
              <w:jc w:val="left"/>
            </w:pPr>
            <w:r>
              <w:rPr>
                <w:b w:val="0"/>
                <w:bCs w:val="0"/>
                <w:sz w:val="18"/>
                <w:szCs w:val="18"/>
              </w:rPr>
              <w:t>TCS</w:t>
            </w:r>
          </w:p>
        </w:tc>
        <w:tc>
          <w:tcPr>
            <w:tcW w:w="2200" w:type="dxa"/>
            <w:tcBorders>
              <w:top w:val="single" w:color="999999" w:sz="2" w:space="0"/>
              <w:left w:val="single" w:color="999999" w:sz="2" w:space="0"/>
              <w:bottom w:val="single" w:color="999999" w:sz="2" w:space="0"/>
              <w:right w:val="single" w:color="999999" w:sz="2" w:space="0"/>
            </w:tcBorders>
          </w:tcPr>
          <w:p w14:paraId="01E3E4D5">
            <w:pPr>
              <w:jc w:val="left"/>
            </w:pPr>
            <w:r>
              <w:rPr>
                <w:b w:val="0"/>
                <w:bCs w:val="0"/>
                <w:sz w:val="18"/>
                <w:szCs w:val="18"/>
              </w:rPr>
              <w:t>IT</w:t>
            </w:r>
          </w:p>
        </w:tc>
        <w:tc>
          <w:tcPr>
            <w:tcW w:w="2600" w:type="dxa"/>
            <w:tcBorders>
              <w:top w:val="single" w:color="999999" w:sz="2" w:space="0"/>
              <w:left w:val="single" w:color="999999" w:sz="2" w:space="0"/>
              <w:bottom w:val="single" w:color="999999" w:sz="2" w:space="0"/>
              <w:right w:val="single" w:color="999999" w:sz="2" w:space="0"/>
            </w:tcBorders>
          </w:tcPr>
          <w:p w14:paraId="6C1EA0A7">
            <w:pPr>
              <w:jc w:val="left"/>
            </w:pPr>
            <w:r>
              <w:rPr>
                <w:b w:val="0"/>
                <w:bCs w:val="0"/>
                <w:sz w:val="18"/>
                <w:szCs w:val="18"/>
              </w:rPr>
              <w:t>-23.4%</w:t>
            </w:r>
          </w:p>
        </w:tc>
      </w:tr>
      <w:tr w14:paraId="236C38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999999" w:sz="2" w:space="0"/>
              <w:left w:val="single" w:color="999999" w:sz="2" w:space="0"/>
              <w:bottom w:val="single" w:color="999999" w:sz="2" w:space="0"/>
              <w:right w:val="single" w:color="999999" w:sz="2" w:space="0"/>
            </w:tcBorders>
          </w:tcPr>
          <w:p w14:paraId="624112C4">
            <w:pPr>
              <w:jc w:val="left"/>
            </w:pPr>
            <w:r>
              <w:rPr>
                <w:b w:val="0"/>
                <w:bCs w:val="0"/>
                <w:sz w:val="18"/>
                <w:szCs w:val="18"/>
              </w:rPr>
              <w:t>Infosys</w:t>
            </w:r>
          </w:p>
        </w:tc>
        <w:tc>
          <w:tcPr>
            <w:tcW w:w="2200" w:type="dxa"/>
            <w:tcBorders>
              <w:top w:val="single" w:color="999999" w:sz="2" w:space="0"/>
              <w:left w:val="single" w:color="999999" w:sz="2" w:space="0"/>
              <w:bottom w:val="single" w:color="999999" w:sz="2" w:space="0"/>
              <w:right w:val="single" w:color="999999" w:sz="2" w:space="0"/>
            </w:tcBorders>
          </w:tcPr>
          <w:p w14:paraId="4D45F706">
            <w:pPr>
              <w:jc w:val="left"/>
            </w:pPr>
            <w:r>
              <w:rPr>
                <w:b w:val="0"/>
                <w:bCs w:val="0"/>
                <w:sz w:val="18"/>
                <w:szCs w:val="18"/>
              </w:rPr>
              <w:t>IT</w:t>
            </w:r>
          </w:p>
        </w:tc>
        <w:tc>
          <w:tcPr>
            <w:tcW w:w="2600" w:type="dxa"/>
            <w:tcBorders>
              <w:top w:val="single" w:color="999999" w:sz="2" w:space="0"/>
              <w:left w:val="single" w:color="999999" w:sz="2" w:space="0"/>
              <w:bottom w:val="single" w:color="999999" w:sz="2" w:space="0"/>
              <w:right w:val="single" w:color="999999" w:sz="2" w:space="0"/>
            </w:tcBorders>
          </w:tcPr>
          <w:p w14:paraId="64FADAF9">
            <w:pPr>
              <w:jc w:val="left"/>
            </w:pPr>
            <w:r>
              <w:rPr>
                <w:b w:val="0"/>
                <w:bCs w:val="0"/>
                <w:sz w:val="18"/>
                <w:szCs w:val="18"/>
              </w:rPr>
              <w:t>-28.3%</w:t>
            </w:r>
          </w:p>
        </w:tc>
      </w:tr>
      <w:tr w14:paraId="279A14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999999" w:sz="2" w:space="0"/>
              <w:left w:val="single" w:color="999999" w:sz="2" w:space="0"/>
              <w:bottom w:val="single" w:color="999999" w:sz="2" w:space="0"/>
              <w:right w:val="single" w:color="999999" w:sz="2" w:space="0"/>
            </w:tcBorders>
          </w:tcPr>
          <w:p w14:paraId="22B987B0">
            <w:pPr>
              <w:jc w:val="left"/>
            </w:pPr>
            <w:r>
              <w:rPr>
                <w:b w:val="0"/>
                <w:bCs w:val="0"/>
                <w:sz w:val="18"/>
                <w:szCs w:val="18"/>
              </w:rPr>
              <w:t>Hero MotoCorp</w:t>
            </w:r>
          </w:p>
        </w:tc>
        <w:tc>
          <w:tcPr>
            <w:tcW w:w="2200" w:type="dxa"/>
            <w:tcBorders>
              <w:top w:val="single" w:color="999999" w:sz="2" w:space="0"/>
              <w:left w:val="single" w:color="999999" w:sz="2" w:space="0"/>
              <w:bottom w:val="single" w:color="999999" w:sz="2" w:space="0"/>
              <w:right w:val="single" w:color="999999" w:sz="2" w:space="0"/>
            </w:tcBorders>
          </w:tcPr>
          <w:p w14:paraId="2EC7BCAD">
            <w:pPr>
              <w:jc w:val="left"/>
            </w:pPr>
            <w:r>
              <w:rPr>
                <w:b w:val="0"/>
                <w:bCs w:val="0"/>
                <w:sz w:val="18"/>
                <w:szCs w:val="18"/>
              </w:rPr>
              <w:t>Auto</w:t>
            </w:r>
          </w:p>
        </w:tc>
        <w:tc>
          <w:tcPr>
            <w:tcW w:w="2600" w:type="dxa"/>
            <w:tcBorders>
              <w:top w:val="single" w:color="999999" w:sz="2" w:space="0"/>
              <w:left w:val="single" w:color="999999" w:sz="2" w:space="0"/>
              <w:bottom w:val="single" w:color="999999" w:sz="2" w:space="0"/>
              <w:right w:val="single" w:color="999999" w:sz="2" w:space="0"/>
            </w:tcBorders>
          </w:tcPr>
          <w:p w14:paraId="74F515C3">
            <w:pPr>
              <w:jc w:val="left"/>
            </w:pPr>
            <w:r>
              <w:rPr>
                <w:b w:val="0"/>
                <w:bCs w:val="0"/>
                <w:sz w:val="18"/>
                <w:szCs w:val="18"/>
              </w:rPr>
              <w:t>-34.2%</w:t>
            </w:r>
          </w:p>
        </w:tc>
      </w:tr>
      <w:tr w14:paraId="57FC76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999999" w:sz="2" w:space="0"/>
              <w:left w:val="single" w:color="999999" w:sz="2" w:space="0"/>
              <w:bottom w:val="single" w:color="999999" w:sz="2" w:space="0"/>
              <w:right w:val="single" w:color="999999" w:sz="2" w:space="0"/>
            </w:tcBorders>
          </w:tcPr>
          <w:p w14:paraId="0D8DFBCA">
            <w:pPr>
              <w:jc w:val="left"/>
            </w:pPr>
            <w:r>
              <w:rPr>
                <w:b w:val="0"/>
                <w:bCs w:val="0"/>
                <w:sz w:val="18"/>
                <w:szCs w:val="18"/>
              </w:rPr>
              <w:t>Wipro</w:t>
            </w:r>
          </w:p>
        </w:tc>
        <w:tc>
          <w:tcPr>
            <w:tcW w:w="2200" w:type="dxa"/>
            <w:tcBorders>
              <w:top w:val="single" w:color="999999" w:sz="2" w:space="0"/>
              <w:left w:val="single" w:color="999999" w:sz="2" w:space="0"/>
              <w:bottom w:val="single" w:color="999999" w:sz="2" w:space="0"/>
              <w:right w:val="single" w:color="999999" w:sz="2" w:space="0"/>
            </w:tcBorders>
          </w:tcPr>
          <w:p w14:paraId="148D2DE6">
            <w:pPr>
              <w:jc w:val="left"/>
            </w:pPr>
            <w:r>
              <w:rPr>
                <w:b w:val="0"/>
                <w:bCs w:val="0"/>
                <w:sz w:val="18"/>
                <w:szCs w:val="18"/>
              </w:rPr>
              <w:t>IT</w:t>
            </w:r>
          </w:p>
        </w:tc>
        <w:tc>
          <w:tcPr>
            <w:tcW w:w="2600" w:type="dxa"/>
            <w:tcBorders>
              <w:top w:val="single" w:color="999999" w:sz="2" w:space="0"/>
              <w:left w:val="single" w:color="999999" w:sz="2" w:space="0"/>
              <w:bottom w:val="single" w:color="999999" w:sz="2" w:space="0"/>
              <w:right w:val="single" w:color="999999" w:sz="2" w:space="0"/>
            </w:tcBorders>
          </w:tcPr>
          <w:p w14:paraId="0D97AA5F">
            <w:pPr>
              <w:jc w:val="left"/>
            </w:pPr>
            <w:r>
              <w:rPr>
                <w:b w:val="0"/>
                <w:bCs w:val="0"/>
                <w:sz w:val="18"/>
                <w:szCs w:val="18"/>
              </w:rPr>
              <w:t>-34.4%</w:t>
            </w:r>
          </w:p>
        </w:tc>
      </w:tr>
      <w:tr w14:paraId="5DC855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999999" w:sz="2" w:space="0"/>
              <w:left w:val="single" w:color="999999" w:sz="2" w:space="0"/>
              <w:bottom w:val="single" w:color="999999" w:sz="2" w:space="0"/>
              <w:right w:val="single" w:color="999999" w:sz="2" w:space="0"/>
            </w:tcBorders>
          </w:tcPr>
          <w:p w14:paraId="54FD0364">
            <w:pPr>
              <w:jc w:val="left"/>
            </w:pPr>
            <w:r>
              <w:rPr>
                <w:b w:val="0"/>
                <w:bCs w:val="0"/>
                <w:sz w:val="18"/>
                <w:szCs w:val="18"/>
              </w:rPr>
              <w:t>Honda Po</w:t>
            </w:r>
            <w:r>
              <w:rPr>
                <w:b w:val="0"/>
                <w:bCs w:val="0"/>
                <w:sz w:val="18"/>
                <w:szCs w:val="18"/>
                <w:lang w:val="en-US"/>
              </w:rPr>
              <w:t>I</w:t>
            </w:r>
            <w:r>
              <w:rPr>
                <w:b w:val="0"/>
                <w:bCs w:val="0"/>
                <w:sz w:val="18"/>
                <w:szCs w:val="18"/>
              </w:rPr>
              <w:t>r</w:t>
            </w:r>
          </w:p>
        </w:tc>
        <w:tc>
          <w:tcPr>
            <w:tcW w:w="2200" w:type="dxa"/>
            <w:tcBorders>
              <w:top w:val="single" w:color="999999" w:sz="2" w:space="0"/>
              <w:left w:val="single" w:color="999999" w:sz="2" w:space="0"/>
              <w:bottom w:val="single" w:color="999999" w:sz="2" w:space="0"/>
              <w:right w:val="single" w:color="999999" w:sz="2" w:space="0"/>
            </w:tcBorders>
          </w:tcPr>
          <w:p w14:paraId="582EB90B">
            <w:pPr>
              <w:jc w:val="left"/>
            </w:pPr>
            <w:r>
              <w:rPr>
                <w:b w:val="0"/>
                <w:bCs w:val="0"/>
                <w:sz w:val="18"/>
                <w:szCs w:val="18"/>
              </w:rPr>
              <w:t>Auto</w:t>
            </w:r>
          </w:p>
        </w:tc>
        <w:tc>
          <w:tcPr>
            <w:tcW w:w="2600" w:type="dxa"/>
            <w:tcBorders>
              <w:top w:val="single" w:color="999999" w:sz="2" w:space="0"/>
              <w:left w:val="single" w:color="999999" w:sz="2" w:space="0"/>
              <w:bottom w:val="single" w:color="999999" w:sz="2" w:space="0"/>
              <w:right w:val="single" w:color="999999" w:sz="2" w:space="0"/>
            </w:tcBorders>
          </w:tcPr>
          <w:p w14:paraId="795F0153">
            <w:pPr>
              <w:jc w:val="left"/>
            </w:pPr>
            <w:r>
              <w:rPr>
                <w:b w:val="0"/>
                <w:bCs w:val="0"/>
                <w:sz w:val="18"/>
                <w:szCs w:val="18"/>
              </w:rPr>
              <w:t>-35.1%</w:t>
            </w:r>
          </w:p>
        </w:tc>
      </w:tr>
      <w:tr w14:paraId="3647DD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999999" w:sz="2" w:space="0"/>
              <w:left w:val="single" w:color="999999" w:sz="2" w:space="0"/>
              <w:bottom w:val="single" w:color="999999" w:sz="2" w:space="0"/>
              <w:right w:val="single" w:color="999999" w:sz="2" w:space="0"/>
            </w:tcBorders>
          </w:tcPr>
          <w:p w14:paraId="79B3AE59">
            <w:pPr>
              <w:jc w:val="left"/>
            </w:pPr>
            <w:r>
              <w:rPr>
                <w:b w:val="0"/>
                <w:bCs w:val="0"/>
                <w:sz w:val="18"/>
                <w:szCs w:val="18"/>
              </w:rPr>
              <w:t>HDFC Bank</w:t>
            </w:r>
          </w:p>
        </w:tc>
        <w:tc>
          <w:tcPr>
            <w:tcW w:w="2200" w:type="dxa"/>
            <w:tcBorders>
              <w:top w:val="single" w:color="999999" w:sz="2" w:space="0"/>
              <w:left w:val="single" w:color="999999" w:sz="2" w:space="0"/>
              <w:bottom w:val="single" w:color="999999" w:sz="2" w:space="0"/>
              <w:right w:val="single" w:color="999999" w:sz="2" w:space="0"/>
            </w:tcBorders>
          </w:tcPr>
          <w:p w14:paraId="57A2F898">
            <w:pPr>
              <w:jc w:val="left"/>
            </w:pPr>
            <w:r>
              <w:rPr>
                <w:b w:val="0"/>
                <w:bCs w:val="0"/>
                <w:sz w:val="18"/>
                <w:szCs w:val="18"/>
              </w:rPr>
              <w:t>Banking</w:t>
            </w:r>
          </w:p>
        </w:tc>
        <w:tc>
          <w:tcPr>
            <w:tcW w:w="2600" w:type="dxa"/>
            <w:tcBorders>
              <w:top w:val="single" w:color="999999" w:sz="2" w:space="0"/>
              <w:left w:val="single" w:color="999999" w:sz="2" w:space="0"/>
              <w:bottom w:val="single" w:color="999999" w:sz="2" w:space="0"/>
              <w:right w:val="single" w:color="999999" w:sz="2" w:space="0"/>
            </w:tcBorders>
          </w:tcPr>
          <w:p w14:paraId="370EA251">
            <w:pPr>
              <w:jc w:val="left"/>
            </w:pPr>
            <w:r>
              <w:rPr>
                <w:b w:val="0"/>
                <w:bCs w:val="0"/>
                <w:sz w:val="18"/>
                <w:szCs w:val="18"/>
              </w:rPr>
              <w:t>-40.3%</w:t>
            </w:r>
          </w:p>
        </w:tc>
      </w:tr>
      <w:tr w14:paraId="1EFCDD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999999" w:sz="2" w:space="0"/>
              <w:left w:val="single" w:color="999999" w:sz="2" w:space="0"/>
              <w:bottom w:val="single" w:color="999999" w:sz="2" w:space="0"/>
              <w:right w:val="single" w:color="999999" w:sz="2" w:space="0"/>
            </w:tcBorders>
          </w:tcPr>
          <w:p w14:paraId="18633C9C">
            <w:pPr>
              <w:jc w:val="left"/>
            </w:pPr>
            <w:r>
              <w:rPr>
                <w:b w:val="0"/>
                <w:bCs w:val="0"/>
                <w:sz w:val="18"/>
                <w:szCs w:val="18"/>
              </w:rPr>
              <w:t>Reliance Industries</w:t>
            </w:r>
          </w:p>
        </w:tc>
        <w:tc>
          <w:tcPr>
            <w:tcW w:w="2200" w:type="dxa"/>
            <w:tcBorders>
              <w:top w:val="single" w:color="999999" w:sz="2" w:space="0"/>
              <w:left w:val="single" w:color="999999" w:sz="2" w:space="0"/>
              <w:bottom w:val="single" w:color="999999" w:sz="2" w:space="0"/>
              <w:right w:val="single" w:color="999999" w:sz="2" w:space="0"/>
            </w:tcBorders>
          </w:tcPr>
          <w:p w14:paraId="4AC0A7E5">
            <w:pPr>
              <w:jc w:val="left"/>
            </w:pPr>
            <w:r>
              <w:rPr>
                <w:b w:val="0"/>
                <w:bCs w:val="0"/>
                <w:sz w:val="18"/>
                <w:szCs w:val="18"/>
              </w:rPr>
              <w:t>Energy/Conglomerate</w:t>
            </w:r>
          </w:p>
        </w:tc>
        <w:tc>
          <w:tcPr>
            <w:tcW w:w="2600" w:type="dxa"/>
            <w:tcBorders>
              <w:top w:val="single" w:color="999999" w:sz="2" w:space="0"/>
              <w:left w:val="single" w:color="999999" w:sz="2" w:space="0"/>
              <w:bottom w:val="single" w:color="999999" w:sz="2" w:space="0"/>
              <w:right w:val="single" w:color="999999" w:sz="2" w:space="0"/>
            </w:tcBorders>
          </w:tcPr>
          <w:p w14:paraId="0D92335C">
            <w:pPr>
              <w:jc w:val="left"/>
            </w:pPr>
            <w:r>
              <w:rPr>
                <w:b w:val="0"/>
                <w:bCs w:val="0"/>
                <w:sz w:val="18"/>
                <w:szCs w:val="18"/>
              </w:rPr>
              <w:t>-42.4%</w:t>
            </w:r>
          </w:p>
        </w:tc>
      </w:tr>
      <w:tr w14:paraId="6545AD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999999" w:sz="2" w:space="0"/>
              <w:left w:val="single" w:color="999999" w:sz="2" w:space="0"/>
              <w:bottom w:val="single" w:color="999999" w:sz="2" w:space="0"/>
              <w:right w:val="single" w:color="999999" w:sz="2" w:space="0"/>
            </w:tcBorders>
          </w:tcPr>
          <w:p w14:paraId="093DE780">
            <w:pPr>
              <w:jc w:val="left"/>
            </w:pPr>
            <w:r>
              <w:rPr>
                <w:b w:val="0"/>
                <w:bCs w:val="0"/>
                <w:sz w:val="18"/>
                <w:szCs w:val="18"/>
              </w:rPr>
              <w:t>Maruti Suzuki</w:t>
            </w:r>
          </w:p>
        </w:tc>
        <w:tc>
          <w:tcPr>
            <w:tcW w:w="2200" w:type="dxa"/>
            <w:tcBorders>
              <w:top w:val="single" w:color="999999" w:sz="2" w:space="0"/>
              <w:left w:val="single" w:color="999999" w:sz="2" w:space="0"/>
              <w:bottom w:val="single" w:color="999999" w:sz="2" w:space="0"/>
              <w:right w:val="single" w:color="999999" w:sz="2" w:space="0"/>
            </w:tcBorders>
          </w:tcPr>
          <w:p w14:paraId="4CF72F0E">
            <w:pPr>
              <w:jc w:val="left"/>
            </w:pPr>
            <w:r>
              <w:rPr>
                <w:b w:val="0"/>
                <w:bCs w:val="0"/>
                <w:sz w:val="18"/>
                <w:szCs w:val="18"/>
              </w:rPr>
              <w:t>Auto</w:t>
            </w:r>
          </w:p>
        </w:tc>
        <w:tc>
          <w:tcPr>
            <w:tcW w:w="2600" w:type="dxa"/>
            <w:tcBorders>
              <w:top w:val="single" w:color="999999" w:sz="2" w:space="0"/>
              <w:left w:val="single" w:color="999999" w:sz="2" w:space="0"/>
              <w:bottom w:val="single" w:color="999999" w:sz="2" w:space="0"/>
              <w:right w:val="single" w:color="999999" w:sz="2" w:space="0"/>
            </w:tcBorders>
          </w:tcPr>
          <w:p w14:paraId="18719BA6">
            <w:pPr>
              <w:jc w:val="left"/>
            </w:pPr>
            <w:r>
              <w:rPr>
                <w:b w:val="0"/>
                <w:bCs w:val="0"/>
                <w:sz w:val="18"/>
                <w:szCs w:val="18"/>
              </w:rPr>
              <w:t>-45.3%</w:t>
            </w:r>
          </w:p>
        </w:tc>
      </w:tr>
      <w:tr w14:paraId="0A4798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999999" w:sz="2" w:space="0"/>
              <w:left w:val="single" w:color="999999" w:sz="2" w:space="0"/>
              <w:bottom w:val="single" w:color="999999" w:sz="2" w:space="0"/>
              <w:right w:val="single" w:color="999999" w:sz="2" w:space="0"/>
            </w:tcBorders>
          </w:tcPr>
          <w:p w14:paraId="5DE86F58">
            <w:pPr>
              <w:jc w:val="left"/>
            </w:pPr>
            <w:r>
              <w:rPr>
                <w:b w:val="0"/>
                <w:bCs w:val="0"/>
                <w:sz w:val="18"/>
                <w:szCs w:val="18"/>
              </w:rPr>
              <w:t>ICICI Bank</w:t>
            </w:r>
          </w:p>
        </w:tc>
        <w:tc>
          <w:tcPr>
            <w:tcW w:w="2200" w:type="dxa"/>
            <w:tcBorders>
              <w:top w:val="single" w:color="999999" w:sz="2" w:space="0"/>
              <w:left w:val="single" w:color="999999" w:sz="2" w:space="0"/>
              <w:bottom w:val="single" w:color="999999" w:sz="2" w:space="0"/>
              <w:right w:val="single" w:color="999999" w:sz="2" w:space="0"/>
            </w:tcBorders>
          </w:tcPr>
          <w:p w14:paraId="1D824EE7">
            <w:pPr>
              <w:jc w:val="left"/>
            </w:pPr>
            <w:r>
              <w:rPr>
                <w:b w:val="0"/>
                <w:bCs w:val="0"/>
                <w:sz w:val="18"/>
                <w:szCs w:val="18"/>
              </w:rPr>
              <w:t>Banking</w:t>
            </w:r>
          </w:p>
        </w:tc>
        <w:tc>
          <w:tcPr>
            <w:tcW w:w="2600" w:type="dxa"/>
            <w:tcBorders>
              <w:top w:val="single" w:color="999999" w:sz="2" w:space="0"/>
              <w:left w:val="single" w:color="999999" w:sz="2" w:space="0"/>
              <w:bottom w:val="single" w:color="999999" w:sz="2" w:space="0"/>
              <w:right w:val="single" w:color="999999" w:sz="2" w:space="0"/>
            </w:tcBorders>
          </w:tcPr>
          <w:p w14:paraId="7DAF290C">
            <w:pPr>
              <w:jc w:val="left"/>
            </w:pPr>
            <w:r>
              <w:rPr>
                <w:b w:val="0"/>
                <w:bCs w:val="0"/>
                <w:sz w:val="18"/>
                <w:szCs w:val="18"/>
              </w:rPr>
              <w:t>-47.5%</w:t>
            </w:r>
          </w:p>
        </w:tc>
      </w:tr>
      <w:tr w14:paraId="235406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999999" w:sz="2" w:space="0"/>
              <w:left w:val="single" w:color="999999" w:sz="2" w:space="0"/>
              <w:bottom w:val="single" w:color="999999" w:sz="2" w:space="0"/>
              <w:right w:val="single" w:color="999999" w:sz="2" w:space="0"/>
            </w:tcBorders>
          </w:tcPr>
          <w:p w14:paraId="5D87027F">
            <w:pPr>
              <w:jc w:val="left"/>
            </w:pPr>
            <w:r>
              <w:rPr>
                <w:b w:val="0"/>
                <w:bCs w:val="0"/>
                <w:sz w:val="18"/>
                <w:szCs w:val="18"/>
              </w:rPr>
              <w:t>SBI</w:t>
            </w:r>
          </w:p>
        </w:tc>
        <w:tc>
          <w:tcPr>
            <w:tcW w:w="2200" w:type="dxa"/>
            <w:tcBorders>
              <w:top w:val="single" w:color="999999" w:sz="2" w:space="0"/>
              <w:left w:val="single" w:color="999999" w:sz="2" w:space="0"/>
              <w:bottom w:val="single" w:color="999999" w:sz="2" w:space="0"/>
              <w:right w:val="single" w:color="999999" w:sz="2" w:space="0"/>
            </w:tcBorders>
          </w:tcPr>
          <w:p w14:paraId="3B906568">
            <w:pPr>
              <w:jc w:val="left"/>
            </w:pPr>
            <w:r>
              <w:rPr>
                <w:b w:val="0"/>
                <w:bCs w:val="0"/>
                <w:sz w:val="18"/>
                <w:szCs w:val="18"/>
              </w:rPr>
              <w:t>Banking</w:t>
            </w:r>
          </w:p>
        </w:tc>
        <w:tc>
          <w:tcPr>
            <w:tcW w:w="2600" w:type="dxa"/>
            <w:tcBorders>
              <w:top w:val="single" w:color="999999" w:sz="2" w:space="0"/>
              <w:left w:val="single" w:color="999999" w:sz="2" w:space="0"/>
              <w:bottom w:val="single" w:color="999999" w:sz="2" w:space="0"/>
              <w:right w:val="single" w:color="999999" w:sz="2" w:space="0"/>
            </w:tcBorders>
          </w:tcPr>
          <w:p w14:paraId="782F79C3">
            <w:pPr>
              <w:jc w:val="left"/>
            </w:pPr>
            <w:r>
              <w:rPr>
                <w:b w:val="0"/>
                <w:bCs w:val="0"/>
                <w:sz w:val="18"/>
                <w:szCs w:val="18"/>
              </w:rPr>
              <w:t>-48.3%</w:t>
            </w:r>
          </w:p>
        </w:tc>
      </w:tr>
      <w:tr w14:paraId="4A53A1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999999" w:sz="2" w:space="0"/>
              <w:left w:val="single" w:color="999999" w:sz="2" w:space="0"/>
              <w:bottom w:val="single" w:color="999999" w:sz="2" w:space="0"/>
              <w:right w:val="single" w:color="999999" w:sz="2" w:space="0"/>
            </w:tcBorders>
          </w:tcPr>
          <w:p w14:paraId="00F95AEF">
            <w:pPr>
              <w:jc w:val="left"/>
            </w:pPr>
            <w:r>
              <w:rPr>
                <w:b w:val="0"/>
                <w:bCs w:val="0"/>
                <w:sz w:val="18"/>
                <w:szCs w:val="18"/>
              </w:rPr>
              <w:t>Bank of Baroda</w:t>
            </w:r>
          </w:p>
        </w:tc>
        <w:tc>
          <w:tcPr>
            <w:tcW w:w="2200" w:type="dxa"/>
            <w:tcBorders>
              <w:top w:val="single" w:color="999999" w:sz="2" w:space="0"/>
              <w:left w:val="single" w:color="999999" w:sz="2" w:space="0"/>
              <w:bottom w:val="single" w:color="999999" w:sz="2" w:space="0"/>
              <w:right w:val="single" w:color="999999" w:sz="2" w:space="0"/>
            </w:tcBorders>
          </w:tcPr>
          <w:p w14:paraId="28928062">
            <w:pPr>
              <w:jc w:val="left"/>
            </w:pPr>
            <w:r>
              <w:rPr>
                <w:b w:val="0"/>
                <w:bCs w:val="0"/>
                <w:sz w:val="18"/>
                <w:szCs w:val="18"/>
              </w:rPr>
              <w:t>Banking</w:t>
            </w:r>
          </w:p>
        </w:tc>
        <w:tc>
          <w:tcPr>
            <w:tcW w:w="2600" w:type="dxa"/>
            <w:tcBorders>
              <w:top w:val="single" w:color="999999" w:sz="2" w:space="0"/>
              <w:left w:val="single" w:color="999999" w:sz="2" w:space="0"/>
              <w:bottom w:val="single" w:color="999999" w:sz="2" w:space="0"/>
              <w:right w:val="single" w:color="999999" w:sz="2" w:space="0"/>
            </w:tcBorders>
          </w:tcPr>
          <w:p w14:paraId="18274785">
            <w:pPr>
              <w:jc w:val="left"/>
            </w:pPr>
            <w:r>
              <w:rPr>
                <w:b w:val="0"/>
                <w:bCs w:val="0"/>
                <w:sz w:val="18"/>
                <w:szCs w:val="18"/>
              </w:rPr>
              <w:t>-55.6%</w:t>
            </w:r>
          </w:p>
        </w:tc>
      </w:tr>
      <w:tr w14:paraId="25D783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999999" w:sz="2" w:space="0"/>
              <w:left w:val="single" w:color="999999" w:sz="2" w:space="0"/>
              <w:bottom w:val="single" w:color="999999" w:sz="2" w:space="0"/>
              <w:right w:val="single" w:color="999999" w:sz="2" w:space="0"/>
            </w:tcBorders>
          </w:tcPr>
          <w:p w14:paraId="120880BC">
            <w:pPr>
              <w:jc w:val="left"/>
            </w:pPr>
            <w:r>
              <w:rPr>
                <w:b w:val="0"/>
                <w:bCs w:val="0"/>
                <w:sz w:val="18"/>
                <w:szCs w:val="18"/>
              </w:rPr>
              <w:t>Axis Bank</w:t>
            </w:r>
          </w:p>
        </w:tc>
        <w:tc>
          <w:tcPr>
            <w:tcW w:w="2200" w:type="dxa"/>
            <w:tcBorders>
              <w:top w:val="single" w:color="999999" w:sz="2" w:space="0"/>
              <w:left w:val="single" w:color="999999" w:sz="2" w:space="0"/>
              <w:bottom w:val="single" w:color="999999" w:sz="2" w:space="0"/>
              <w:right w:val="single" w:color="999999" w:sz="2" w:space="0"/>
            </w:tcBorders>
          </w:tcPr>
          <w:p w14:paraId="0A233B73">
            <w:pPr>
              <w:jc w:val="left"/>
            </w:pPr>
            <w:r>
              <w:rPr>
                <w:b w:val="0"/>
                <w:bCs w:val="0"/>
                <w:sz w:val="18"/>
                <w:szCs w:val="18"/>
              </w:rPr>
              <w:t>Banking</w:t>
            </w:r>
          </w:p>
        </w:tc>
        <w:tc>
          <w:tcPr>
            <w:tcW w:w="2600" w:type="dxa"/>
            <w:tcBorders>
              <w:top w:val="single" w:color="999999" w:sz="2" w:space="0"/>
              <w:left w:val="single" w:color="999999" w:sz="2" w:space="0"/>
              <w:bottom w:val="single" w:color="999999" w:sz="2" w:space="0"/>
              <w:right w:val="single" w:color="999999" w:sz="2" w:space="0"/>
            </w:tcBorders>
          </w:tcPr>
          <w:p w14:paraId="39741DB6">
            <w:pPr>
              <w:jc w:val="left"/>
            </w:pPr>
            <w:r>
              <w:rPr>
                <w:b w:val="0"/>
                <w:bCs w:val="0"/>
                <w:sz w:val="18"/>
                <w:szCs w:val="18"/>
              </w:rPr>
              <w:t>-60.0%</w:t>
            </w:r>
          </w:p>
        </w:tc>
      </w:tr>
    </w:tbl>
    <w:p w14:paraId="611201F6">
      <w:pPr>
        <w:spacing w:after="160"/>
      </w:pPr>
      <w:r>
        <w:rPr>
          <w:b w:val="0"/>
          <w:bCs w:val="0"/>
          <w:i w:val="0"/>
          <w:iCs w:val="0"/>
        </w:rPr>
        <w:t xml:space="preserve">IT services stocks fell the least during this crisis, while banking stocks fell hardest </w:t>
      </w:r>
      <w:r>
        <w:rPr>
          <w:b w:val="0"/>
          <w:bCs w:val="0"/>
          <w:i w:val="0"/>
          <w:iCs w:val="0"/>
          <w:lang w:val="en-US"/>
        </w:rPr>
        <w:t>-</w:t>
      </w:r>
      <w:r>
        <w:rPr>
          <w:b w:val="0"/>
          <w:bCs w:val="0"/>
          <w:i w:val="0"/>
          <w:iCs w:val="0"/>
        </w:rPr>
        <w:t xml:space="preserve"> a pattern that repeats in the long-run maximum </w:t>
      </w:r>
      <w:r>
        <w:rPr>
          <w:b w:val="0"/>
          <w:bCs w:val="0"/>
          <w:i w:val="0"/>
          <w:iCs w:val="0"/>
          <w:lang w:val="en-US"/>
        </w:rPr>
        <w:t>draw down</w:t>
      </w:r>
      <w:r>
        <w:rPr>
          <w:b w:val="0"/>
          <w:bCs w:val="0"/>
          <w:i w:val="0"/>
          <w:iCs w:val="0"/>
        </w:rPr>
        <w:t xml:space="preserve"> figures in Section 2. The takeaway for a stakeholder is that banking exposure amplifies both the gains and the losses; IT dampens both. This is a genuine risk trade-off, not just noise in the data.</w:t>
      </w:r>
    </w:p>
    <w:p w14:paraId="2228E3C1">
      <w:pPr>
        <w:pStyle w:val="2"/>
        <w:spacing w:before="320" w:after="160"/>
      </w:pPr>
      <w:r>
        <w:t>5. What's happening right now: a sector rotation is underway</w:t>
      </w:r>
    </w:p>
    <w:p w14:paraId="3005B42E">
      <w:pPr>
        <w:spacing w:after="160"/>
      </w:pPr>
      <w:r>
        <w:rPr>
          <w:b w:val="0"/>
          <w:bCs w:val="0"/>
          <w:i w:val="0"/>
          <w:iCs w:val="0"/>
        </w:rPr>
        <w:t xml:space="preserve">The most actionable finding in this </w:t>
      </w:r>
      <w:r>
        <w:rPr>
          <w:b w:val="0"/>
          <w:bCs w:val="0"/>
          <w:i w:val="0"/>
          <w:iCs w:val="0"/>
          <w:lang w:val="en-US"/>
        </w:rPr>
        <w:t>data set</w:t>
      </w:r>
      <w:r>
        <w:rPr>
          <w:b w:val="0"/>
          <w:bCs w:val="0"/>
          <w:i w:val="0"/>
          <w:iCs w:val="0"/>
        </w:rPr>
        <w:t xml:space="preserve"> is not the eleven-year story </w:t>
      </w:r>
      <w:r>
        <w:rPr>
          <w:b w:val="0"/>
          <w:bCs w:val="0"/>
          <w:i w:val="0"/>
          <w:iCs w:val="0"/>
          <w:lang w:val="en-US"/>
        </w:rPr>
        <w:t>-</w:t>
      </w:r>
      <w:r>
        <w:rPr>
          <w:b w:val="0"/>
          <w:bCs w:val="0"/>
          <w:i w:val="0"/>
          <w:iCs w:val="0"/>
        </w:rPr>
        <w:t xml:space="preserve"> it's the last </w:t>
      </w:r>
      <w:r>
        <w:rPr>
          <w:rFonts w:hint="default"/>
          <w:b w:val="0"/>
          <w:bCs w:val="0"/>
          <w:i w:val="0"/>
          <w:iCs w:val="0"/>
          <w:lang w:val="en-US"/>
        </w:rPr>
        <w:t>12</w:t>
      </w:r>
      <w:r>
        <w:rPr>
          <w:b w:val="0"/>
          <w:bCs w:val="0"/>
          <w:i w:val="0"/>
          <w:iCs w:val="0"/>
        </w:rPr>
        <w:t xml:space="preserve"> months, where the pattern above has partly reversed. Comparing performance over the last year (July 2025 to July 2026) to the long-run averages shows IT services stocks have gone from the portfolio's most reliable performers to its </w:t>
      </w:r>
      <w:r>
        <w:rPr>
          <w:b w:val="0"/>
          <w:bCs w:val="0"/>
          <w:i w:val="0"/>
          <w:iCs w:val="0"/>
          <w:lang w:val="en-US"/>
        </w:rPr>
        <w:t>I</w:t>
      </w:r>
      <w:r>
        <w:rPr>
          <w:rFonts w:hint="default"/>
          <w:b w:val="0"/>
          <w:bCs w:val="0"/>
          <w:i w:val="0"/>
          <w:iCs w:val="0"/>
          <w:lang w:val="en-US"/>
        </w:rPr>
        <w:t>owes</w:t>
      </w:r>
      <w:r>
        <w:rPr>
          <w:b w:val="0"/>
          <w:bCs w:val="0"/>
          <w:i w:val="0"/>
          <w:iCs w:val="0"/>
        </w:rPr>
        <w:t>t:</w:t>
      </w:r>
    </w:p>
    <w:tbl>
      <w:tblPr>
        <w:tblStyle w:val="9"/>
        <w:tblW w:w="88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1800"/>
        <w:gridCol w:w="1800"/>
        <w:gridCol w:w="2400"/>
      </w:tblGrid>
      <w:tr w14:paraId="178CA5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800" w:type="dxa"/>
            <w:tcBorders>
              <w:top w:val="single" w:color="999999" w:sz="2" w:space="0"/>
              <w:left w:val="single" w:color="999999" w:sz="2" w:space="0"/>
              <w:bottom w:val="single" w:color="999999" w:sz="2" w:space="0"/>
              <w:right w:val="single" w:color="999999" w:sz="2" w:space="0"/>
            </w:tcBorders>
            <w:shd w:val="clear" w:color="auto" w:fill="EAEAEA"/>
          </w:tcPr>
          <w:p w14:paraId="35A6F91A">
            <w:r>
              <w:rPr>
                <w:b/>
                <w:bCs/>
                <w:sz w:val="18"/>
                <w:szCs w:val="18"/>
              </w:rPr>
              <w:t>Company</w:t>
            </w:r>
          </w:p>
        </w:tc>
        <w:tc>
          <w:tcPr>
            <w:tcW w:w="1800" w:type="dxa"/>
            <w:tcBorders>
              <w:top w:val="single" w:color="999999" w:sz="2" w:space="0"/>
              <w:left w:val="single" w:color="999999" w:sz="2" w:space="0"/>
              <w:bottom w:val="single" w:color="999999" w:sz="2" w:space="0"/>
              <w:right w:val="single" w:color="999999" w:sz="2" w:space="0"/>
            </w:tcBorders>
            <w:shd w:val="clear" w:color="auto" w:fill="EAEAEA"/>
          </w:tcPr>
          <w:p w14:paraId="7236E312">
            <w:r>
              <w:rPr>
                <w:b/>
                <w:bCs/>
                <w:sz w:val="18"/>
                <w:szCs w:val="18"/>
              </w:rPr>
              <w:t>Sector</w:t>
            </w:r>
          </w:p>
        </w:tc>
        <w:tc>
          <w:tcPr>
            <w:tcW w:w="1800" w:type="dxa"/>
            <w:tcBorders>
              <w:top w:val="single" w:color="999999" w:sz="2" w:space="0"/>
              <w:left w:val="single" w:color="999999" w:sz="2" w:space="0"/>
              <w:bottom w:val="single" w:color="999999" w:sz="2" w:space="0"/>
              <w:right w:val="single" w:color="999999" w:sz="2" w:space="0"/>
            </w:tcBorders>
            <w:shd w:val="clear" w:color="auto" w:fill="EAEAEA"/>
          </w:tcPr>
          <w:p w14:paraId="52F23B3D">
            <w:r>
              <w:rPr>
                <w:b/>
                <w:bCs/>
                <w:sz w:val="18"/>
                <w:szCs w:val="18"/>
              </w:rPr>
              <w:t>Last 12 Months</w:t>
            </w:r>
          </w:p>
        </w:tc>
        <w:tc>
          <w:tcPr>
            <w:tcW w:w="2400" w:type="dxa"/>
            <w:tcBorders>
              <w:top w:val="single" w:color="999999" w:sz="2" w:space="0"/>
              <w:left w:val="single" w:color="999999" w:sz="2" w:space="0"/>
              <w:bottom w:val="single" w:color="999999" w:sz="2" w:space="0"/>
              <w:right w:val="single" w:color="999999" w:sz="2" w:space="0"/>
            </w:tcBorders>
            <w:shd w:val="clear" w:color="auto" w:fill="EAEAEA"/>
          </w:tcPr>
          <w:p w14:paraId="7FBB8F55">
            <w:r>
              <w:rPr>
                <w:b/>
                <w:bCs/>
                <w:sz w:val="18"/>
                <w:szCs w:val="18"/>
              </w:rPr>
              <w:t>11-Year CAGR (context)</w:t>
            </w:r>
          </w:p>
        </w:tc>
      </w:tr>
      <w:tr w14:paraId="5A5392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999999" w:sz="2" w:space="0"/>
              <w:left w:val="single" w:color="999999" w:sz="2" w:space="0"/>
              <w:bottom w:val="single" w:color="999999" w:sz="2" w:space="0"/>
              <w:right w:val="single" w:color="999999" w:sz="2" w:space="0"/>
            </w:tcBorders>
          </w:tcPr>
          <w:p w14:paraId="39D89767">
            <w:pPr>
              <w:jc w:val="left"/>
            </w:pPr>
            <w:r>
              <w:rPr>
                <w:b w:val="0"/>
                <w:bCs w:val="0"/>
                <w:sz w:val="18"/>
                <w:szCs w:val="18"/>
              </w:rPr>
              <w:t>TCS</w:t>
            </w:r>
          </w:p>
        </w:tc>
        <w:tc>
          <w:tcPr>
            <w:tcW w:w="1800" w:type="dxa"/>
            <w:tcBorders>
              <w:top w:val="single" w:color="999999" w:sz="2" w:space="0"/>
              <w:left w:val="single" w:color="999999" w:sz="2" w:space="0"/>
              <w:bottom w:val="single" w:color="999999" w:sz="2" w:space="0"/>
              <w:right w:val="single" w:color="999999" w:sz="2" w:space="0"/>
            </w:tcBorders>
          </w:tcPr>
          <w:p w14:paraId="3A8907CF">
            <w:pPr>
              <w:jc w:val="left"/>
            </w:pPr>
            <w:r>
              <w:rPr>
                <w:b w:val="0"/>
                <w:bCs w:val="0"/>
                <w:sz w:val="18"/>
                <w:szCs w:val="18"/>
              </w:rPr>
              <w:t>IT</w:t>
            </w:r>
          </w:p>
        </w:tc>
        <w:tc>
          <w:tcPr>
            <w:tcW w:w="1800" w:type="dxa"/>
            <w:tcBorders>
              <w:top w:val="single" w:color="999999" w:sz="2" w:space="0"/>
              <w:left w:val="single" w:color="999999" w:sz="2" w:space="0"/>
              <w:bottom w:val="single" w:color="999999" w:sz="2" w:space="0"/>
              <w:right w:val="single" w:color="999999" w:sz="2" w:space="0"/>
            </w:tcBorders>
          </w:tcPr>
          <w:p w14:paraId="541232D8">
            <w:pPr>
              <w:jc w:val="left"/>
            </w:pPr>
            <w:r>
              <w:rPr>
                <w:b w:val="0"/>
                <w:bCs w:val="0"/>
                <w:sz w:val="18"/>
                <w:szCs w:val="18"/>
              </w:rPr>
              <w:t>-36.4%</w:t>
            </w:r>
          </w:p>
        </w:tc>
        <w:tc>
          <w:tcPr>
            <w:tcW w:w="2400" w:type="dxa"/>
            <w:tcBorders>
              <w:top w:val="single" w:color="999999" w:sz="2" w:space="0"/>
              <w:left w:val="single" w:color="999999" w:sz="2" w:space="0"/>
              <w:bottom w:val="single" w:color="999999" w:sz="2" w:space="0"/>
              <w:right w:val="single" w:color="999999" w:sz="2" w:space="0"/>
            </w:tcBorders>
          </w:tcPr>
          <w:p w14:paraId="5F5338E9">
            <w:pPr>
              <w:jc w:val="left"/>
            </w:pPr>
            <w:r>
              <w:rPr>
                <w:b w:val="0"/>
                <w:bCs w:val="0"/>
                <w:sz w:val="18"/>
                <w:szCs w:val="18"/>
              </w:rPr>
              <w:t>+6.9% p.a.</w:t>
            </w:r>
          </w:p>
        </w:tc>
      </w:tr>
      <w:tr w14:paraId="585D22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999999" w:sz="2" w:space="0"/>
              <w:left w:val="single" w:color="999999" w:sz="2" w:space="0"/>
              <w:bottom w:val="single" w:color="999999" w:sz="2" w:space="0"/>
              <w:right w:val="single" w:color="999999" w:sz="2" w:space="0"/>
            </w:tcBorders>
          </w:tcPr>
          <w:p w14:paraId="063CAA35">
            <w:pPr>
              <w:jc w:val="left"/>
            </w:pPr>
            <w:r>
              <w:rPr>
                <w:b w:val="0"/>
                <w:bCs w:val="0"/>
                <w:sz w:val="18"/>
                <w:szCs w:val="18"/>
              </w:rPr>
              <w:t>Wipro</w:t>
            </w:r>
          </w:p>
        </w:tc>
        <w:tc>
          <w:tcPr>
            <w:tcW w:w="1800" w:type="dxa"/>
            <w:tcBorders>
              <w:top w:val="single" w:color="999999" w:sz="2" w:space="0"/>
              <w:left w:val="single" w:color="999999" w:sz="2" w:space="0"/>
              <w:bottom w:val="single" w:color="999999" w:sz="2" w:space="0"/>
              <w:right w:val="single" w:color="999999" w:sz="2" w:space="0"/>
            </w:tcBorders>
          </w:tcPr>
          <w:p w14:paraId="230958D9">
            <w:pPr>
              <w:jc w:val="left"/>
            </w:pPr>
            <w:r>
              <w:rPr>
                <w:b w:val="0"/>
                <w:bCs w:val="0"/>
                <w:sz w:val="18"/>
                <w:szCs w:val="18"/>
              </w:rPr>
              <w:t>IT</w:t>
            </w:r>
          </w:p>
        </w:tc>
        <w:tc>
          <w:tcPr>
            <w:tcW w:w="1800" w:type="dxa"/>
            <w:tcBorders>
              <w:top w:val="single" w:color="999999" w:sz="2" w:space="0"/>
              <w:left w:val="single" w:color="999999" w:sz="2" w:space="0"/>
              <w:bottom w:val="single" w:color="999999" w:sz="2" w:space="0"/>
              <w:right w:val="single" w:color="999999" w:sz="2" w:space="0"/>
            </w:tcBorders>
          </w:tcPr>
          <w:p w14:paraId="69D28005">
            <w:pPr>
              <w:jc w:val="left"/>
            </w:pPr>
            <w:r>
              <w:rPr>
                <w:b w:val="0"/>
                <w:bCs w:val="0"/>
                <w:sz w:val="18"/>
                <w:szCs w:val="18"/>
              </w:rPr>
              <w:t>-32.2%</w:t>
            </w:r>
          </w:p>
        </w:tc>
        <w:tc>
          <w:tcPr>
            <w:tcW w:w="2400" w:type="dxa"/>
            <w:tcBorders>
              <w:top w:val="single" w:color="999999" w:sz="2" w:space="0"/>
              <w:left w:val="single" w:color="999999" w:sz="2" w:space="0"/>
              <w:bottom w:val="single" w:color="999999" w:sz="2" w:space="0"/>
              <w:right w:val="single" w:color="999999" w:sz="2" w:space="0"/>
            </w:tcBorders>
          </w:tcPr>
          <w:p w14:paraId="73DB99C2">
            <w:pPr>
              <w:jc w:val="left"/>
            </w:pPr>
            <w:r>
              <w:rPr>
                <w:b w:val="0"/>
                <w:bCs w:val="0"/>
                <w:sz w:val="18"/>
                <w:szCs w:val="18"/>
              </w:rPr>
              <w:t>+5.7% p.a.</w:t>
            </w:r>
          </w:p>
        </w:tc>
      </w:tr>
      <w:tr w14:paraId="2DB84F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999999" w:sz="2" w:space="0"/>
              <w:left w:val="single" w:color="999999" w:sz="2" w:space="0"/>
              <w:bottom w:val="single" w:color="999999" w:sz="2" w:space="0"/>
              <w:right w:val="single" w:color="999999" w:sz="2" w:space="0"/>
            </w:tcBorders>
          </w:tcPr>
          <w:p w14:paraId="1FC02E47">
            <w:pPr>
              <w:jc w:val="left"/>
            </w:pPr>
            <w:r>
              <w:rPr>
                <w:b w:val="0"/>
                <w:bCs w:val="0"/>
                <w:sz w:val="18"/>
                <w:szCs w:val="18"/>
              </w:rPr>
              <w:t>Infosys</w:t>
            </w:r>
          </w:p>
        </w:tc>
        <w:tc>
          <w:tcPr>
            <w:tcW w:w="1800" w:type="dxa"/>
            <w:tcBorders>
              <w:top w:val="single" w:color="999999" w:sz="2" w:space="0"/>
              <w:left w:val="single" w:color="999999" w:sz="2" w:space="0"/>
              <w:bottom w:val="single" w:color="999999" w:sz="2" w:space="0"/>
              <w:right w:val="single" w:color="999999" w:sz="2" w:space="0"/>
            </w:tcBorders>
          </w:tcPr>
          <w:p w14:paraId="51AE0B84">
            <w:pPr>
              <w:jc w:val="left"/>
            </w:pPr>
            <w:r>
              <w:rPr>
                <w:b w:val="0"/>
                <w:bCs w:val="0"/>
                <w:sz w:val="18"/>
                <w:szCs w:val="18"/>
              </w:rPr>
              <w:t>IT</w:t>
            </w:r>
          </w:p>
        </w:tc>
        <w:tc>
          <w:tcPr>
            <w:tcW w:w="1800" w:type="dxa"/>
            <w:tcBorders>
              <w:top w:val="single" w:color="999999" w:sz="2" w:space="0"/>
              <w:left w:val="single" w:color="999999" w:sz="2" w:space="0"/>
              <w:bottom w:val="single" w:color="999999" w:sz="2" w:space="0"/>
              <w:right w:val="single" w:color="999999" w:sz="2" w:space="0"/>
            </w:tcBorders>
          </w:tcPr>
          <w:p w14:paraId="49C38AFD">
            <w:pPr>
              <w:jc w:val="left"/>
            </w:pPr>
            <w:r>
              <w:rPr>
                <w:b w:val="0"/>
                <w:bCs w:val="0"/>
                <w:sz w:val="18"/>
                <w:szCs w:val="18"/>
              </w:rPr>
              <w:t>-31.0%</w:t>
            </w:r>
          </w:p>
        </w:tc>
        <w:tc>
          <w:tcPr>
            <w:tcW w:w="2400" w:type="dxa"/>
            <w:tcBorders>
              <w:top w:val="single" w:color="999999" w:sz="2" w:space="0"/>
              <w:left w:val="single" w:color="999999" w:sz="2" w:space="0"/>
              <w:bottom w:val="single" w:color="999999" w:sz="2" w:space="0"/>
              <w:right w:val="single" w:color="999999" w:sz="2" w:space="0"/>
            </w:tcBorders>
          </w:tcPr>
          <w:p w14:paraId="75394600">
            <w:pPr>
              <w:jc w:val="left"/>
            </w:pPr>
            <w:r>
              <w:rPr>
                <w:b w:val="0"/>
                <w:bCs w:val="0"/>
                <w:sz w:val="18"/>
                <w:szCs w:val="18"/>
              </w:rPr>
              <w:t>+9.9% p.a.</w:t>
            </w:r>
          </w:p>
        </w:tc>
      </w:tr>
      <w:tr w14:paraId="58C4B3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999999" w:sz="2" w:space="0"/>
              <w:left w:val="single" w:color="999999" w:sz="2" w:space="0"/>
              <w:bottom w:val="single" w:color="999999" w:sz="2" w:space="0"/>
              <w:right w:val="single" w:color="999999" w:sz="2" w:space="0"/>
            </w:tcBorders>
          </w:tcPr>
          <w:p w14:paraId="5290966B">
            <w:pPr>
              <w:jc w:val="left"/>
            </w:pPr>
            <w:r>
              <w:rPr>
                <w:b w:val="0"/>
                <w:bCs w:val="0"/>
                <w:sz w:val="18"/>
                <w:szCs w:val="18"/>
              </w:rPr>
              <w:t>Honda Po</w:t>
            </w:r>
            <w:r>
              <w:rPr>
                <w:b w:val="0"/>
                <w:bCs w:val="0"/>
                <w:sz w:val="18"/>
                <w:szCs w:val="18"/>
                <w:lang w:val="en-US"/>
              </w:rPr>
              <w:t>I</w:t>
            </w:r>
            <w:r>
              <w:rPr>
                <w:b w:val="0"/>
                <w:bCs w:val="0"/>
                <w:sz w:val="18"/>
                <w:szCs w:val="18"/>
              </w:rPr>
              <w:t>r</w:t>
            </w:r>
          </w:p>
        </w:tc>
        <w:tc>
          <w:tcPr>
            <w:tcW w:w="1800" w:type="dxa"/>
            <w:tcBorders>
              <w:top w:val="single" w:color="999999" w:sz="2" w:space="0"/>
              <w:left w:val="single" w:color="999999" w:sz="2" w:space="0"/>
              <w:bottom w:val="single" w:color="999999" w:sz="2" w:space="0"/>
              <w:right w:val="single" w:color="999999" w:sz="2" w:space="0"/>
            </w:tcBorders>
          </w:tcPr>
          <w:p w14:paraId="7B9E1E3E">
            <w:pPr>
              <w:jc w:val="left"/>
            </w:pPr>
            <w:r>
              <w:rPr>
                <w:b w:val="0"/>
                <w:bCs w:val="0"/>
                <w:sz w:val="18"/>
                <w:szCs w:val="18"/>
              </w:rPr>
              <w:t>Auto</w:t>
            </w:r>
          </w:p>
        </w:tc>
        <w:tc>
          <w:tcPr>
            <w:tcW w:w="1800" w:type="dxa"/>
            <w:tcBorders>
              <w:top w:val="single" w:color="999999" w:sz="2" w:space="0"/>
              <w:left w:val="single" w:color="999999" w:sz="2" w:space="0"/>
              <w:bottom w:val="single" w:color="999999" w:sz="2" w:space="0"/>
              <w:right w:val="single" w:color="999999" w:sz="2" w:space="0"/>
            </w:tcBorders>
          </w:tcPr>
          <w:p w14:paraId="22280832">
            <w:pPr>
              <w:jc w:val="left"/>
            </w:pPr>
            <w:r>
              <w:rPr>
                <w:b w:val="0"/>
                <w:bCs w:val="0"/>
                <w:sz w:val="18"/>
                <w:szCs w:val="18"/>
              </w:rPr>
              <w:t>-24.1%</w:t>
            </w:r>
          </w:p>
        </w:tc>
        <w:tc>
          <w:tcPr>
            <w:tcW w:w="2400" w:type="dxa"/>
            <w:tcBorders>
              <w:top w:val="single" w:color="999999" w:sz="2" w:space="0"/>
              <w:left w:val="single" w:color="999999" w:sz="2" w:space="0"/>
              <w:bottom w:val="single" w:color="999999" w:sz="2" w:space="0"/>
              <w:right w:val="single" w:color="999999" w:sz="2" w:space="0"/>
            </w:tcBorders>
          </w:tcPr>
          <w:p w14:paraId="1A94DDE4">
            <w:pPr>
              <w:jc w:val="left"/>
            </w:pPr>
            <w:r>
              <w:rPr>
                <w:b w:val="0"/>
                <w:bCs w:val="0"/>
                <w:sz w:val="18"/>
                <w:szCs w:val="18"/>
              </w:rPr>
              <w:t>+8.8% p.a.</w:t>
            </w:r>
          </w:p>
        </w:tc>
      </w:tr>
      <w:tr w14:paraId="138AF6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999999" w:sz="2" w:space="0"/>
              <w:left w:val="single" w:color="999999" w:sz="2" w:space="0"/>
              <w:bottom w:val="single" w:color="999999" w:sz="2" w:space="0"/>
              <w:right w:val="single" w:color="999999" w:sz="2" w:space="0"/>
            </w:tcBorders>
          </w:tcPr>
          <w:p w14:paraId="2A1EEAC5">
            <w:pPr>
              <w:jc w:val="left"/>
            </w:pPr>
            <w:r>
              <w:rPr>
                <w:b w:val="0"/>
                <w:bCs w:val="0"/>
                <w:sz w:val="18"/>
                <w:szCs w:val="18"/>
              </w:rPr>
              <w:t>HDFC Bank</w:t>
            </w:r>
          </w:p>
        </w:tc>
        <w:tc>
          <w:tcPr>
            <w:tcW w:w="1800" w:type="dxa"/>
            <w:tcBorders>
              <w:top w:val="single" w:color="999999" w:sz="2" w:space="0"/>
              <w:left w:val="single" w:color="999999" w:sz="2" w:space="0"/>
              <w:bottom w:val="single" w:color="999999" w:sz="2" w:space="0"/>
              <w:right w:val="single" w:color="999999" w:sz="2" w:space="0"/>
            </w:tcBorders>
          </w:tcPr>
          <w:p w14:paraId="518F22D4">
            <w:pPr>
              <w:jc w:val="left"/>
            </w:pPr>
            <w:r>
              <w:rPr>
                <w:b w:val="0"/>
                <w:bCs w:val="0"/>
                <w:sz w:val="18"/>
                <w:szCs w:val="18"/>
              </w:rPr>
              <w:t>Banking</w:t>
            </w:r>
          </w:p>
        </w:tc>
        <w:tc>
          <w:tcPr>
            <w:tcW w:w="1800" w:type="dxa"/>
            <w:tcBorders>
              <w:top w:val="single" w:color="999999" w:sz="2" w:space="0"/>
              <w:left w:val="single" w:color="999999" w:sz="2" w:space="0"/>
              <w:bottom w:val="single" w:color="999999" w:sz="2" w:space="0"/>
              <w:right w:val="single" w:color="999999" w:sz="2" w:space="0"/>
            </w:tcBorders>
          </w:tcPr>
          <w:p w14:paraId="05AD7407">
            <w:pPr>
              <w:jc w:val="left"/>
            </w:pPr>
            <w:r>
              <w:rPr>
                <w:b w:val="0"/>
                <w:bCs w:val="0"/>
                <w:sz w:val="18"/>
                <w:szCs w:val="18"/>
              </w:rPr>
              <w:t>-14.9%</w:t>
            </w:r>
          </w:p>
        </w:tc>
        <w:tc>
          <w:tcPr>
            <w:tcW w:w="2400" w:type="dxa"/>
            <w:tcBorders>
              <w:top w:val="single" w:color="999999" w:sz="2" w:space="0"/>
              <w:left w:val="single" w:color="999999" w:sz="2" w:space="0"/>
              <w:bottom w:val="single" w:color="999999" w:sz="2" w:space="0"/>
              <w:right w:val="single" w:color="999999" w:sz="2" w:space="0"/>
            </w:tcBorders>
          </w:tcPr>
          <w:p w14:paraId="518CEA80">
            <w:pPr>
              <w:jc w:val="left"/>
            </w:pPr>
            <w:r>
              <w:rPr>
                <w:b w:val="0"/>
                <w:bCs w:val="0"/>
                <w:sz w:val="18"/>
                <w:szCs w:val="18"/>
              </w:rPr>
              <w:t>+12.5% p.a.</w:t>
            </w:r>
          </w:p>
        </w:tc>
      </w:tr>
      <w:tr w14:paraId="21F800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999999" w:sz="2" w:space="0"/>
              <w:left w:val="single" w:color="999999" w:sz="2" w:space="0"/>
              <w:bottom w:val="single" w:color="999999" w:sz="2" w:space="0"/>
              <w:right w:val="single" w:color="999999" w:sz="2" w:space="0"/>
            </w:tcBorders>
          </w:tcPr>
          <w:p w14:paraId="00FB906A">
            <w:pPr>
              <w:jc w:val="left"/>
            </w:pPr>
            <w:r>
              <w:rPr>
                <w:b w:val="0"/>
                <w:bCs w:val="0"/>
                <w:sz w:val="18"/>
                <w:szCs w:val="18"/>
              </w:rPr>
              <w:t>Reliance Industries</w:t>
            </w:r>
          </w:p>
        </w:tc>
        <w:tc>
          <w:tcPr>
            <w:tcW w:w="1800" w:type="dxa"/>
            <w:tcBorders>
              <w:top w:val="single" w:color="999999" w:sz="2" w:space="0"/>
              <w:left w:val="single" w:color="999999" w:sz="2" w:space="0"/>
              <w:bottom w:val="single" w:color="999999" w:sz="2" w:space="0"/>
              <w:right w:val="single" w:color="999999" w:sz="2" w:space="0"/>
            </w:tcBorders>
          </w:tcPr>
          <w:p w14:paraId="42EA6B21">
            <w:pPr>
              <w:jc w:val="left"/>
            </w:pPr>
            <w:r>
              <w:rPr>
                <w:b w:val="0"/>
                <w:bCs w:val="0"/>
                <w:sz w:val="18"/>
                <w:szCs w:val="18"/>
              </w:rPr>
              <w:t>Energy/Conglomerate</w:t>
            </w:r>
          </w:p>
        </w:tc>
        <w:tc>
          <w:tcPr>
            <w:tcW w:w="1800" w:type="dxa"/>
            <w:tcBorders>
              <w:top w:val="single" w:color="999999" w:sz="2" w:space="0"/>
              <w:left w:val="single" w:color="999999" w:sz="2" w:space="0"/>
              <w:bottom w:val="single" w:color="999999" w:sz="2" w:space="0"/>
              <w:right w:val="single" w:color="999999" w:sz="2" w:space="0"/>
            </w:tcBorders>
          </w:tcPr>
          <w:p w14:paraId="48CE5213">
            <w:pPr>
              <w:jc w:val="left"/>
            </w:pPr>
            <w:r>
              <w:rPr>
                <w:b w:val="0"/>
                <w:bCs w:val="0"/>
                <w:sz w:val="18"/>
                <w:szCs w:val="18"/>
              </w:rPr>
              <w:t>-13.1%</w:t>
            </w:r>
          </w:p>
        </w:tc>
        <w:tc>
          <w:tcPr>
            <w:tcW w:w="2400" w:type="dxa"/>
            <w:tcBorders>
              <w:top w:val="single" w:color="999999" w:sz="2" w:space="0"/>
              <w:left w:val="single" w:color="999999" w:sz="2" w:space="0"/>
              <w:bottom w:val="single" w:color="999999" w:sz="2" w:space="0"/>
              <w:right w:val="single" w:color="999999" w:sz="2" w:space="0"/>
            </w:tcBorders>
          </w:tcPr>
          <w:p w14:paraId="7B858075">
            <w:pPr>
              <w:jc w:val="left"/>
            </w:pPr>
            <w:r>
              <w:rPr>
                <w:b w:val="0"/>
                <w:bCs w:val="0"/>
                <w:sz w:val="18"/>
                <w:szCs w:val="18"/>
              </w:rPr>
              <w:t>+18.3% p.a.</w:t>
            </w:r>
          </w:p>
        </w:tc>
      </w:tr>
      <w:tr w14:paraId="08D04D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999999" w:sz="2" w:space="0"/>
              <w:left w:val="single" w:color="999999" w:sz="2" w:space="0"/>
              <w:bottom w:val="single" w:color="999999" w:sz="2" w:space="0"/>
              <w:right w:val="single" w:color="999999" w:sz="2" w:space="0"/>
            </w:tcBorders>
          </w:tcPr>
          <w:p w14:paraId="382C41A5">
            <w:pPr>
              <w:jc w:val="left"/>
            </w:pPr>
            <w:r>
              <w:rPr>
                <w:b w:val="0"/>
                <w:bCs w:val="0"/>
                <w:sz w:val="18"/>
                <w:szCs w:val="18"/>
              </w:rPr>
              <w:t>ICICI Bank</w:t>
            </w:r>
          </w:p>
        </w:tc>
        <w:tc>
          <w:tcPr>
            <w:tcW w:w="1800" w:type="dxa"/>
            <w:tcBorders>
              <w:top w:val="single" w:color="999999" w:sz="2" w:space="0"/>
              <w:left w:val="single" w:color="999999" w:sz="2" w:space="0"/>
              <w:bottom w:val="single" w:color="999999" w:sz="2" w:space="0"/>
              <w:right w:val="single" w:color="999999" w:sz="2" w:space="0"/>
            </w:tcBorders>
          </w:tcPr>
          <w:p w14:paraId="1C9DC92F">
            <w:pPr>
              <w:jc w:val="left"/>
            </w:pPr>
            <w:r>
              <w:rPr>
                <w:b w:val="0"/>
                <w:bCs w:val="0"/>
                <w:sz w:val="18"/>
                <w:szCs w:val="18"/>
              </w:rPr>
              <w:t>Banking</w:t>
            </w:r>
          </w:p>
        </w:tc>
        <w:tc>
          <w:tcPr>
            <w:tcW w:w="1800" w:type="dxa"/>
            <w:tcBorders>
              <w:top w:val="single" w:color="999999" w:sz="2" w:space="0"/>
              <w:left w:val="single" w:color="999999" w:sz="2" w:space="0"/>
              <w:bottom w:val="single" w:color="999999" w:sz="2" w:space="0"/>
              <w:right w:val="single" w:color="999999" w:sz="2" w:space="0"/>
            </w:tcBorders>
          </w:tcPr>
          <w:p w14:paraId="6CB9ABFC">
            <w:pPr>
              <w:jc w:val="left"/>
            </w:pPr>
            <w:r>
              <w:rPr>
                <w:b w:val="0"/>
                <w:bCs w:val="0"/>
                <w:sz w:val="18"/>
                <w:szCs w:val="18"/>
              </w:rPr>
              <w:t>-0.2%</w:t>
            </w:r>
          </w:p>
        </w:tc>
        <w:tc>
          <w:tcPr>
            <w:tcW w:w="2400" w:type="dxa"/>
            <w:tcBorders>
              <w:top w:val="single" w:color="999999" w:sz="2" w:space="0"/>
              <w:left w:val="single" w:color="999999" w:sz="2" w:space="0"/>
              <w:bottom w:val="single" w:color="999999" w:sz="2" w:space="0"/>
              <w:right w:val="single" w:color="999999" w:sz="2" w:space="0"/>
            </w:tcBorders>
          </w:tcPr>
          <w:p w14:paraId="1537D5B9">
            <w:pPr>
              <w:jc w:val="left"/>
            </w:pPr>
            <w:r>
              <w:rPr>
                <w:b w:val="0"/>
                <w:bCs w:val="0"/>
                <w:sz w:val="18"/>
                <w:szCs w:val="18"/>
              </w:rPr>
              <w:t>+14.6% p.a.</w:t>
            </w:r>
          </w:p>
        </w:tc>
      </w:tr>
      <w:tr w14:paraId="610DFA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999999" w:sz="2" w:space="0"/>
              <w:left w:val="single" w:color="999999" w:sz="2" w:space="0"/>
              <w:bottom w:val="single" w:color="999999" w:sz="2" w:space="0"/>
              <w:right w:val="single" w:color="999999" w:sz="2" w:space="0"/>
            </w:tcBorders>
          </w:tcPr>
          <w:p w14:paraId="679FDAF8">
            <w:pPr>
              <w:jc w:val="left"/>
            </w:pPr>
            <w:r>
              <w:rPr>
                <w:b w:val="0"/>
                <w:bCs w:val="0"/>
                <w:sz w:val="18"/>
                <w:szCs w:val="18"/>
              </w:rPr>
              <w:t>Bank of Baroda</w:t>
            </w:r>
          </w:p>
        </w:tc>
        <w:tc>
          <w:tcPr>
            <w:tcW w:w="1800" w:type="dxa"/>
            <w:tcBorders>
              <w:top w:val="single" w:color="999999" w:sz="2" w:space="0"/>
              <w:left w:val="single" w:color="999999" w:sz="2" w:space="0"/>
              <w:bottom w:val="single" w:color="999999" w:sz="2" w:space="0"/>
              <w:right w:val="single" w:color="999999" w:sz="2" w:space="0"/>
            </w:tcBorders>
          </w:tcPr>
          <w:p w14:paraId="46ABEDDE">
            <w:pPr>
              <w:jc w:val="left"/>
            </w:pPr>
            <w:r>
              <w:rPr>
                <w:b w:val="0"/>
                <w:bCs w:val="0"/>
                <w:sz w:val="18"/>
                <w:szCs w:val="18"/>
              </w:rPr>
              <w:t>Banking</w:t>
            </w:r>
          </w:p>
        </w:tc>
        <w:tc>
          <w:tcPr>
            <w:tcW w:w="1800" w:type="dxa"/>
            <w:tcBorders>
              <w:top w:val="single" w:color="999999" w:sz="2" w:space="0"/>
              <w:left w:val="single" w:color="999999" w:sz="2" w:space="0"/>
              <w:bottom w:val="single" w:color="999999" w:sz="2" w:space="0"/>
              <w:right w:val="single" w:color="999999" w:sz="2" w:space="0"/>
            </w:tcBorders>
          </w:tcPr>
          <w:p w14:paraId="5A79A6FD">
            <w:pPr>
              <w:jc w:val="left"/>
            </w:pPr>
            <w:r>
              <w:rPr>
                <w:b w:val="0"/>
                <w:bCs w:val="0"/>
                <w:sz w:val="18"/>
                <w:szCs w:val="18"/>
              </w:rPr>
              <w:t>+5.3%</w:t>
            </w:r>
          </w:p>
        </w:tc>
        <w:tc>
          <w:tcPr>
            <w:tcW w:w="2400" w:type="dxa"/>
            <w:tcBorders>
              <w:top w:val="single" w:color="999999" w:sz="2" w:space="0"/>
              <w:left w:val="single" w:color="999999" w:sz="2" w:space="0"/>
              <w:bottom w:val="single" w:color="999999" w:sz="2" w:space="0"/>
              <w:right w:val="single" w:color="999999" w:sz="2" w:space="0"/>
            </w:tcBorders>
          </w:tcPr>
          <w:p w14:paraId="345C74EA">
            <w:pPr>
              <w:jc w:val="left"/>
            </w:pPr>
            <w:r>
              <w:rPr>
                <w:b w:val="0"/>
                <w:bCs w:val="0"/>
                <w:sz w:val="18"/>
                <w:szCs w:val="18"/>
              </w:rPr>
              <w:t>+2.8% p.a.</w:t>
            </w:r>
          </w:p>
        </w:tc>
      </w:tr>
      <w:tr w14:paraId="09F54D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999999" w:sz="2" w:space="0"/>
              <w:left w:val="single" w:color="999999" w:sz="2" w:space="0"/>
              <w:bottom w:val="single" w:color="999999" w:sz="2" w:space="0"/>
              <w:right w:val="single" w:color="999999" w:sz="2" w:space="0"/>
            </w:tcBorders>
          </w:tcPr>
          <w:p w14:paraId="4845B402">
            <w:pPr>
              <w:jc w:val="left"/>
            </w:pPr>
            <w:r>
              <w:rPr>
                <w:b w:val="0"/>
                <w:bCs w:val="0"/>
                <w:sz w:val="18"/>
                <w:szCs w:val="18"/>
              </w:rPr>
              <w:t>Maruti Suzuki</w:t>
            </w:r>
          </w:p>
        </w:tc>
        <w:tc>
          <w:tcPr>
            <w:tcW w:w="1800" w:type="dxa"/>
            <w:tcBorders>
              <w:top w:val="single" w:color="999999" w:sz="2" w:space="0"/>
              <w:left w:val="single" w:color="999999" w:sz="2" w:space="0"/>
              <w:bottom w:val="single" w:color="999999" w:sz="2" w:space="0"/>
              <w:right w:val="single" w:color="999999" w:sz="2" w:space="0"/>
            </w:tcBorders>
          </w:tcPr>
          <w:p w14:paraId="534D8030">
            <w:pPr>
              <w:jc w:val="left"/>
            </w:pPr>
            <w:r>
              <w:rPr>
                <w:b w:val="0"/>
                <w:bCs w:val="0"/>
                <w:sz w:val="18"/>
                <w:szCs w:val="18"/>
              </w:rPr>
              <w:t>Auto</w:t>
            </w:r>
          </w:p>
        </w:tc>
        <w:tc>
          <w:tcPr>
            <w:tcW w:w="1800" w:type="dxa"/>
            <w:tcBorders>
              <w:top w:val="single" w:color="999999" w:sz="2" w:space="0"/>
              <w:left w:val="single" w:color="999999" w:sz="2" w:space="0"/>
              <w:bottom w:val="single" w:color="999999" w:sz="2" w:space="0"/>
              <w:right w:val="single" w:color="999999" w:sz="2" w:space="0"/>
            </w:tcBorders>
          </w:tcPr>
          <w:p w14:paraId="0E8E75BF">
            <w:pPr>
              <w:jc w:val="left"/>
            </w:pPr>
            <w:r>
              <w:rPr>
                <w:b w:val="0"/>
                <w:bCs w:val="0"/>
                <w:sz w:val="18"/>
                <w:szCs w:val="18"/>
              </w:rPr>
              <w:t>+16.4%</w:t>
            </w:r>
          </w:p>
        </w:tc>
        <w:tc>
          <w:tcPr>
            <w:tcW w:w="2400" w:type="dxa"/>
            <w:tcBorders>
              <w:top w:val="single" w:color="999999" w:sz="2" w:space="0"/>
              <w:left w:val="single" w:color="999999" w:sz="2" w:space="0"/>
              <w:bottom w:val="single" w:color="999999" w:sz="2" w:space="0"/>
              <w:right w:val="single" w:color="999999" w:sz="2" w:space="0"/>
            </w:tcBorders>
          </w:tcPr>
          <w:p w14:paraId="01CA5688">
            <w:pPr>
              <w:jc w:val="left"/>
            </w:pPr>
            <w:r>
              <w:rPr>
                <w:b w:val="0"/>
                <w:bCs w:val="0"/>
                <w:sz w:val="18"/>
                <w:szCs w:val="18"/>
              </w:rPr>
              <w:t>+14.6% p.a.</w:t>
            </w:r>
          </w:p>
        </w:tc>
      </w:tr>
      <w:tr w14:paraId="58877A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999999" w:sz="2" w:space="0"/>
              <w:left w:val="single" w:color="999999" w:sz="2" w:space="0"/>
              <w:bottom w:val="single" w:color="999999" w:sz="2" w:space="0"/>
              <w:right w:val="single" w:color="999999" w:sz="2" w:space="0"/>
            </w:tcBorders>
          </w:tcPr>
          <w:p w14:paraId="38B5ED26">
            <w:pPr>
              <w:jc w:val="left"/>
            </w:pPr>
            <w:r>
              <w:rPr>
                <w:b w:val="0"/>
                <w:bCs w:val="0"/>
                <w:sz w:val="18"/>
                <w:szCs w:val="18"/>
              </w:rPr>
              <w:t>Axis Bank</w:t>
            </w:r>
          </w:p>
        </w:tc>
        <w:tc>
          <w:tcPr>
            <w:tcW w:w="1800" w:type="dxa"/>
            <w:tcBorders>
              <w:top w:val="single" w:color="999999" w:sz="2" w:space="0"/>
              <w:left w:val="single" w:color="999999" w:sz="2" w:space="0"/>
              <w:bottom w:val="single" w:color="999999" w:sz="2" w:space="0"/>
              <w:right w:val="single" w:color="999999" w:sz="2" w:space="0"/>
            </w:tcBorders>
          </w:tcPr>
          <w:p w14:paraId="2B640562">
            <w:pPr>
              <w:jc w:val="left"/>
            </w:pPr>
            <w:r>
              <w:rPr>
                <w:b w:val="0"/>
                <w:bCs w:val="0"/>
                <w:sz w:val="18"/>
                <w:szCs w:val="18"/>
              </w:rPr>
              <w:t>Banking</w:t>
            </w:r>
          </w:p>
        </w:tc>
        <w:tc>
          <w:tcPr>
            <w:tcW w:w="1800" w:type="dxa"/>
            <w:tcBorders>
              <w:top w:val="single" w:color="999999" w:sz="2" w:space="0"/>
              <w:left w:val="single" w:color="999999" w:sz="2" w:space="0"/>
              <w:bottom w:val="single" w:color="999999" w:sz="2" w:space="0"/>
              <w:right w:val="single" w:color="999999" w:sz="2" w:space="0"/>
            </w:tcBorders>
          </w:tcPr>
          <w:p w14:paraId="7959E938">
            <w:pPr>
              <w:jc w:val="left"/>
            </w:pPr>
            <w:r>
              <w:rPr>
                <w:b w:val="0"/>
                <w:bCs w:val="0"/>
                <w:sz w:val="18"/>
                <w:szCs w:val="18"/>
              </w:rPr>
              <w:t>+14.2%</w:t>
            </w:r>
          </w:p>
        </w:tc>
        <w:tc>
          <w:tcPr>
            <w:tcW w:w="2400" w:type="dxa"/>
            <w:tcBorders>
              <w:top w:val="single" w:color="999999" w:sz="2" w:space="0"/>
              <w:left w:val="single" w:color="999999" w:sz="2" w:space="0"/>
              <w:bottom w:val="single" w:color="999999" w:sz="2" w:space="0"/>
              <w:right w:val="single" w:color="999999" w:sz="2" w:space="0"/>
            </w:tcBorders>
          </w:tcPr>
          <w:p w14:paraId="79B394AF">
            <w:pPr>
              <w:jc w:val="left"/>
            </w:pPr>
            <w:r>
              <w:rPr>
                <w:b w:val="0"/>
                <w:bCs w:val="0"/>
                <w:sz w:val="18"/>
                <w:szCs w:val="18"/>
              </w:rPr>
              <w:t>+9.2% p.a.</w:t>
            </w:r>
          </w:p>
        </w:tc>
      </w:tr>
      <w:tr w14:paraId="17F11D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999999" w:sz="2" w:space="0"/>
              <w:left w:val="single" w:color="999999" w:sz="2" w:space="0"/>
              <w:bottom w:val="single" w:color="999999" w:sz="2" w:space="0"/>
              <w:right w:val="single" w:color="999999" w:sz="2" w:space="0"/>
            </w:tcBorders>
          </w:tcPr>
          <w:p w14:paraId="39793A9E">
            <w:pPr>
              <w:jc w:val="left"/>
            </w:pPr>
            <w:r>
              <w:rPr>
                <w:b w:val="0"/>
                <w:bCs w:val="0"/>
                <w:sz w:val="18"/>
                <w:szCs w:val="18"/>
              </w:rPr>
              <w:t>Hero MotoCorp</w:t>
            </w:r>
          </w:p>
        </w:tc>
        <w:tc>
          <w:tcPr>
            <w:tcW w:w="1800" w:type="dxa"/>
            <w:tcBorders>
              <w:top w:val="single" w:color="999999" w:sz="2" w:space="0"/>
              <w:left w:val="single" w:color="999999" w:sz="2" w:space="0"/>
              <w:bottom w:val="single" w:color="999999" w:sz="2" w:space="0"/>
              <w:right w:val="single" w:color="999999" w:sz="2" w:space="0"/>
            </w:tcBorders>
          </w:tcPr>
          <w:p w14:paraId="50C58DA6">
            <w:pPr>
              <w:jc w:val="left"/>
            </w:pPr>
            <w:r>
              <w:rPr>
                <w:b w:val="0"/>
                <w:bCs w:val="0"/>
                <w:sz w:val="18"/>
                <w:szCs w:val="18"/>
              </w:rPr>
              <w:t>Auto</w:t>
            </w:r>
          </w:p>
        </w:tc>
        <w:tc>
          <w:tcPr>
            <w:tcW w:w="1800" w:type="dxa"/>
            <w:tcBorders>
              <w:top w:val="single" w:color="999999" w:sz="2" w:space="0"/>
              <w:left w:val="single" w:color="999999" w:sz="2" w:space="0"/>
              <w:bottom w:val="single" w:color="999999" w:sz="2" w:space="0"/>
              <w:right w:val="single" w:color="999999" w:sz="2" w:space="0"/>
            </w:tcBorders>
          </w:tcPr>
          <w:p w14:paraId="52E622AB">
            <w:pPr>
              <w:jc w:val="left"/>
            </w:pPr>
            <w:r>
              <w:rPr>
                <w:b w:val="0"/>
                <w:bCs w:val="0"/>
                <w:sz w:val="18"/>
                <w:szCs w:val="18"/>
              </w:rPr>
              <w:t>+21.8%</w:t>
            </w:r>
          </w:p>
        </w:tc>
        <w:tc>
          <w:tcPr>
            <w:tcW w:w="2400" w:type="dxa"/>
            <w:tcBorders>
              <w:top w:val="single" w:color="999999" w:sz="2" w:space="0"/>
              <w:left w:val="single" w:color="999999" w:sz="2" w:space="0"/>
              <w:bottom w:val="single" w:color="999999" w:sz="2" w:space="0"/>
              <w:right w:val="single" w:color="999999" w:sz="2" w:space="0"/>
            </w:tcBorders>
          </w:tcPr>
          <w:p w14:paraId="6654A5E9">
            <w:pPr>
              <w:jc w:val="left"/>
            </w:pPr>
            <w:r>
              <w:rPr>
                <w:b w:val="0"/>
                <w:bCs w:val="0"/>
                <w:sz w:val="18"/>
                <w:szCs w:val="18"/>
              </w:rPr>
              <w:t>+7.4% p.a.</w:t>
            </w:r>
          </w:p>
        </w:tc>
      </w:tr>
      <w:tr w14:paraId="5B3DD5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999999" w:sz="2" w:space="0"/>
              <w:left w:val="single" w:color="999999" w:sz="2" w:space="0"/>
              <w:bottom w:val="single" w:color="999999" w:sz="2" w:space="0"/>
              <w:right w:val="single" w:color="999999" w:sz="2" w:space="0"/>
            </w:tcBorders>
          </w:tcPr>
          <w:p w14:paraId="734E773F">
            <w:pPr>
              <w:jc w:val="left"/>
            </w:pPr>
            <w:r>
              <w:rPr>
                <w:b w:val="0"/>
                <w:bCs w:val="0"/>
                <w:sz w:val="18"/>
                <w:szCs w:val="18"/>
              </w:rPr>
              <w:t>SBI</w:t>
            </w:r>
          </w:p>
        </w:tc>
        <w:tc>
          <w:tcPr>
            <w:tcW w:w="1800" w:type="dxa"/>
            <w:tcBorders>
              <w:top w:val="single" w:color="999999" w:sz="2" w:space="0"/>
              <w:left w:val="single" w:color="999999" w:sz="2" w:space="0"/>
              <w:bottom w:val="single" w:color="999999" w:sz="2" w:space="0"/>
              <w:right w:val="single" w:color="999999" w:sz="2" w:space="0"/>
            </w:tcBorders>
          </w:tcPr>
          <w:p w14:paraId="0ACD258F">
            <w:pPr>
              <w:jc w:val="left"/>
            </w:pPr>
            <w:r>
              <w:rPr>
                <w:b w:val="0"/>
                <w:bCs w:val="0"/>
                <w:sz w:val="18"/>
                <w:szCs w:val="18"/>
              </w:rPr>
              <w:t>Banking</w:t>
            </w:r>
          </w:p>
        </w:tc>
        <w:tc>
          <w:tcPr>
            <w:tcW w:w="1800" w:type="dxa"/>
            <w:tcBorders>
              <w:top w:val="single" w:color="999999" w:sz="2" w:space="0"/>
              <w:left w:val="single" w:color="999999" w:sz="2" w:space="0"/>
              <w:bottom w:val="single" w:color="999999" w:sz="2" w:space="0"/>
              <w:right w:val="single" w:color="999999" w:sz="2" w:space="0"/>
            </w:tcBorders>
          </w:tcPr>
          <w:p w14:paraId="7FE26DBE">
            <w:pPr>
              <w:jc w:val="left"/>
            </w:pPr>
            <w:r>
              <w:rPr>
                <w:b w:val="0"/>
                <w:bCs w:val="0"/>
                <w:sz w:val="18"/>
                <w:szCs w:val="18"/>
              </w:rPr>
              <w:t>+30.0%</w:t>
            </w:r>
          </w:p>
        </w:tc>
        <w:tc>
          <w:tcPr>
            <w:tcW w:w="2400" w:type="dxa"/>
            <w:tcBorders>
              <w:top w:val="single" w:color="999999" w:sz="2" w:space="0"/>
              <w:left w:val="single" w:color="999999" w:sz="2" w:space="0"/>
              <w:bottom w:val="single" w:color="999999" w:sz="2" w:space="0"/>
              <w:right w:val="single" w:color="999999" w:sz="2" w:space="0"/>
            </w:tcBorders>
          </w:tcPr>
          <w:p w14:paraId="67082D76">
            <w:pPr>
              <w:jc w:val="left"/>
            </w:pPr>
            <w:r>
              <w:rPr>
                <w:b w:val="0"/>
                <w:bCs w:val="0"/>
                <w:sz w:val="18"/>
                <w:szCs w:val="18"/>
              </w:rPr>
              <w:t>+12.2% p.a.</w:t>
            </w:r>
          </w:p>
        </w:tc>
      </w:tr>
      <w:tr w14:paraId="40C1B0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999999" w:sz="2" w:space="0"/>
              <w:left w:val="single" w:color="999999" w:sz="2" w:space="0"/>
              <w:bottom w:val="single" w:color="999999" w:sz="2" w:space="0"/>
              <w:right w:val="single" w:color="999999" w:sz="2" w:space="0"/>
            </w:tcBorders>
          </w:tcPr>
          <w:p w14:paraId="4F52492F">
            <w:pPr>
              <w:jc w:val="left"/>
            </w:pPr>
            <w:r>
              <w:rPr>
                <w:b w:val="0"/>
                <w:bCs w:val="0"/>
                <w:sz w:val="18"/>
                <w:szCs w:val="18"/>
              </w:rPr>
              <w:t>Tata Motors CV*</w:t>
            </w:r>
          </w:p>
        </w:tc>
        <w:tc>
          <w:tcPr>
            <w:tcW w:w="1800" w:type="dxa"/>
            <w:tcBorders>
              <w:top w:val="single" w:color="999999" w:sz="2" w:space="0"/>
              <w:left w:val="single" w:color="999999" w:sz="2" w:space="0"/>
              <w:bottom w:val="single" w:color="999999" w:sz="2" w:space="0"/>
              <w:right w:val="single" w:color="999999" w:sz="2" w:space="0"/>
            </w:tcBorders>
          </w:tcPr>
          <w:p w14:paraId="63DA9F7B">
            <w:pPr>
              <w:jc w:val="left"/>
            </w:pPr>
            <w:r>
              <w:rPr>
                <w:b w:val="0"/>
                <w:bCs w:val="0"/>
                <w:sz w:val="18"/>
                <w:szCs w:val="18"/>
              </w:rPr>
              <w:t>Auto</w:t>
            </w:r>
          </w:p>
        </w:tc>
        <w:tc>
          <w:tcPr>
            <w:tcW w:w="1800" w:type="dxa"/>
            <w:tcBorders>
              <w:top w:val="single" w:color="999999" w:sz="2" w:space="0"/>
              <w:left w:val="single" w:color="999999" w:sz="2" w:space="0"/>
              <w:bottom w:val="single" w:color="999999" w:sz="2" w:space="0"/>
              <w:right w:val="single" w:color="999999" w:sz="2" w:space="0"/>
            </w:tcBorders>
          </w:tcPr>
          <w:p w14:paraId="4309A017">
            <w:pPr>
              <w:jc w:val="left"/>
            </w:pPr>
            <w:r>
              <w:rPr>
                <w:b w:val="0"/>
                <w:bCs w:val="0"/>
                <w:sz w:val="18"/>
                <w:szCs w:val="18"/>
              </w:rPr>
              <w:t>+31.2%</w:t>
            </w:r>
          </w:p>
        </w:tc>
        <w:tc>
          <w:tcPr>
            <w:tcW w:w="2400" w:type="dxa"/>
            <w:tcBorders>
              <w:top w:val="single" w:color="999999" w:sz="2" w:space="0"/>
              <w:left w:val="single" w:color="999999" w:sz="2" w:space="0"/>
              <w:bottom w:val="single" w:color="999999" w:sz="2" w:space="0"/>
              <w:right w:val="single" w:color="999999" w:sz="2" w:space="0"/>
            </w:tcBorders>
          </w:tcPr>
          <w:p w14:paraId="5658C802">
            <w:pPr>
              <w:jc w:val="left"/>
            </w:pPr>
            <w:r>
              <w:rPr>
                <w:b w:val="0"/>
                <w:bCs w:val="0"/>
                <w:sz w:val="18"/>
                <w:szCs w:val="18"/>
              </w:rPr>
              <w:t>n/a (listed Nov 2025)</w:t>
            </w:r>
          </w:p>
        </w:tc>
      </w:tr>
    </w:tbl>
    <w:p w14:paraId="4B383AC6">
      <w:pPr>
        <w:spacing w:after="160"/>
      </w:pPr>
      <w:r>
        <w:rPr>
          <w:b w:val="0"/>
          <w:bCs w:val="0"/>
          <w:i w:val="0"/>
          <w:iCs w:val="0"/>
        </w:rPr>
        <w:t xml:space="preserve">All three IT stocks are now down more than 30% over the past year, a sharp break from their historically low-volatility profile. Meanwhile SBI, Axis Bank and Hero MotoCorp </w:t>
      </w:r>
      <w:r>
        <w:rPr>
          <w:b w:val="0"/>
          <w:bCs w:val="0"/>
          <w:i w:val="0"/>
          <w:iCs w:val="0"/>
          <w:lang w:val="en-US"/>
        </w:rPr>
        <w:t>-</w:t>
      </w:r>
      <w:r>
        <w:rPr>
          <w:b w:val="0"/>
          <w:bCs w:val="0"/>
          <w:i w:val="0"/>
          <w:iCs w:val="0"/>
        </w:rPr>
        <w:t xml:space="preserve"> none of them the strongest long-run performers </w:t>
      </w:r>
      <w:r>
        <w:rPr>
          <w:b w:val="0"/>
          <w:bCs w:val="0"/>
          <w:i w:val="0"/>
          <w:iCs w:val="0"/>
          <w:lang w:val="en-US"/>
        </w:rPr>
        <w:t>-</w:t>
      </w:r>
      <w:r>
        <w:rPr>
          <w:b w:val="0"/>
          <w:bCs w:val="0"/>
          <w:i w:val="0"/>
          <w:iCs w:val="0"/>
        </w:rPr>
        <w:t xml:space="preserve"> are now leading the pack. This is the clearest signal in the data: capital appears to be rotating out of IT and into banking and select auto names. Whether this is a temporary correction or the start of a longer trend isn't something this dataset alone can ans</w:t>
      </w:r>
      <w:r>
        <w:rPr>
          <w:rFonts w:hint="default"/>
          <w:b w:val="0"/>
          <w:bCs w:val="0"/>
          <w:i w:val="0"/>
          <w:iCs w:val="0"/>
          <w:lang w:val="en-US"/>
        </w:rPr>
        <w:t>wer</w:t>
      </w:r>
      <w:r>
        <w:rPr>
          <w:b w:val="0"/>
          <w:bCs w:val="0"/>
          <w:i w:val="0"/>
          <w:iCs w:val="0"/>
        </w:rPr>
        <w:t>, but it is exactly the kind of inflection point a stakeholder should be aware of before assuming past sector winners will keep winning.</w:t>
      </w:r>
    </w:p>
    <w:p w14:paraId="266F554D">
      <w:pPr>
        <w:spacing w:after="160"/>
      </w:pPr>
      <w:r>
        <w:rPr>
          <w:b w:val="0"/>
          <w:bCs w:val="0"/>
          <w:i w:val="0"/>
          <w:iCs w:val="0"/>
        </w:rPr>
        <w:t xml:space="preserve">*Tata Motors CV has only 161 trading days of history following its late-2025 listing, so its numbers should be read as early and volatile rather than a settled trend. Its </w:t>
      </w:r>
      <w:r>
        <w:rPr>
          <w:b w:val="0"/>
          <w:bCs w:val="0"/>
          <w:i w:val="0"/>
          <w:iCs w:val="0"/>
          <w:lang w:val="en-US"/>
        </w:rPr>
        <w:t>annualized</w:t>
      </w:r>
      <w:r>
        <w:rPr>
          <w:b w:val="0"/>
          <w:bCs w:val="0"/>
          <w:i w:val="0"/>
          <w:iCs w:val="0"/>
        </w:rPr>
        <w:t xml:space="preserve"> volatility (41.4%) is the highest in the entire dataset alongside Bank of Baroda.</w:t>
      </w:r>
    </w:p>
    <w:p w14:paraId="221E8E61">
      <w:pPr>
        <w:pStyle w:val="2"/>
        <w:spacing w:before="320" w:after="160"/>
      </w:pPr>
      <w:r>
        <w:t>6. Trading activity and dividends</w:t>
      </w:r>
    </w:p>
    <w:p w14:paraId="69C4CD3A">
      <w:pPr>
        <w:pStyle w:val="3"/>
        <w:spacing w:before="240" w:after="120"/>
      </w:pPr>
      <w:r>
        <w:t>Liquidity is shifting toward banking</w:t>
      </w:r>
    </w:p>
    <w:p w14:paraId="1AE79C26">
      <w:pPr>
        <w:spacing w:after="160"/>
      </w:pPr>
      <w:r>
        <w:rPr>
          <w:b w:val="0"/>
          <w:bCs w:val="0"/>
          <w:i w:val="0"/>
          <w:iCs w:val="0"/>
        </w:rPr>
        <w:t xml:space="preserve">Average daily trading volume gives a sense of how easily a position could be built or exited. HDFC Bank's average volume grew 219% from 2015 to 2025 </w:t>
      </w:r>
      <w:r>
        <w:rPr>
          <w:b w:val="0"/>
          <w:bCs w:val="0"/>
          <w:i w:val="0"/>
          <w:iCs w:val="0"/>
          <w:lang w:val="en-US"/>
        </w:rPr>
        <w:t>-</w:t>
      </w:r>
      <w:r>
        <w:rPr>
          <w:b w:val="0"/>
          <w:bCs w:val="0"/>
          <w:i w:val="0"/>
          <w:iCs w:val="0"/>
        </w:rPr>
        <w:t xml:space="preserve"> by far the largest increase in the dataset </w:t>
      </w:r>
      <w:r>
        <w:rPr>
          <w:b w:val="0"/>
          <w:bCs w:val="0"/>
          <w:i w:val="0"/>
          <w:iCs w:val="0"/>
          <w:lang w:val="en-US"/>
        </w:rPr>
        <w:t>-</w:t>
      </w:r>
      <w:r>
        <w:rPr>
          <w:b w:val="0"/>
          <w:bCs w:val="0"/>
          <w:i w:val="0"/>
          <w:iCs w:val="0"/>
        </w:rPr>
        <w:t xml:space="preserve"> while Reliance, SBI and ICICI Bank all saw volumes ease back somewhat from their already-high 2015 levels. This points to HDFC Bank becoming a progressively more liquid, more actively traded stock over the period, likely tied to its 2019 and 2025 stock splits and its 2023 merger with HDFC Ltd.</w:t>
      </w:r>
    </w:p>
    <w:p w14:paraId="11F61A57">
      <w:pPr>
        <w:pStyle w:val="3"/>
        <w:spacing w:before="240" w:after="120"/>
      </w:pPr>
      <w:r>
        <w:t>Dividend behaviour varies by philosophy, not just sector</w:t>
      </w:r>
    </w:p>
    <w:p w14:paraId="7C07BE5E">
      <w:pPr>
        <w:spacing w:after="160"/>
      </w:pPr>
      <w:r>
        <w:rPr>
          <w:b w:val="0"/>
          <w:bCs w:val="0"/>
          <w:i w:val="0"/>
          <w:iCs w:val="0"/>
        </w:rPr>
        <w:t xml:space="preserve">TCS paid dividends in 47 separate instances over the period </w:t>
      </w:r>
      <w:r>
        <w:rPr>
          <w:b w:val="0"/>
          <w:bCs w:val="0"/>
          <w:i w:val="0"/>
          <w:iCs w:val="0"/>
          <w:lang w:val="en-US"/>
        </w:rPr>
        <w:t>-</w:t>
      </w:r>
      <w:r>
        <w:rPr>
          <w:b w:val="0"/>
          <w:bCs w:val="0"/>
          <w:i w:val="0"/>
          <w:iCs w:val="0"/>
        </w:rPr>
        <w:t xml:space="preserve"> far more frequent than any other stock </w:t>
      </w:r>
      <w:r>
        <w:rPr>
          <w:b w:val="0"/>
          <w:bCs w:val="0"/>
          <w:i w:val="0"/>
          <w:iCs w:val="0"/>
          <w:lang w:val="en-US"/>
        </w:rPr>
        <w:t>-</w:t>
      </w:r>
      <w:r>
        <w:rPr>
          <w:b w:val="0"/>
          <w:bCs w:val="0"/>
          <w:i w:val="0"/>
          <w:iCs w:val="0"/>
        </w:rPr>
        <w:t xml:space="preserve"> reflecting a policy of regular, smaller payouts rather than large annual ones. Maruti Suzuki and Hero MotoCorp, by contrast, paid fe</w:t>
      </w:r>
      <w:r>
        <w:rPr>
          <w:rFonts w:hint="default"/>
          <w:b w:val="0"/>
          <w:bCs w:val="0"/>
          <w:i w:val="0"/>
          <w:iCs w:val="0"/>
          <w:lang w:val="en-US"/>
        </w:rPr>
        <w:t>wer</w:t>
      </w:r>
      <w:r>
        <w:rPr>
          <w:b w:val="0"/>
          <w:bCs w:val="0"/>
          <w:i w:val="0"/>
          <w:iCs w:val="0"/>
        </w:rPr>
        <w:t xml:space="preserve"> but much larger dividends (₹810 and ₹1,174 cumulative per share respectively). Axis Bank and Bank of Baroda </w:t>
      </w:r>
      <w:r>
        <w:rPr>
          <w:b w:val="0"/>
          <w:bCs w:val="0"/>
          <w:i w:val="0"/>
          <w:iCs w:val="0"/>
          <w:lang w:val="en-US"/>
        </w:rPr>
        <w:t>I</w:t>
      </w:r>
      <w:r>
        <w:rPr>
          <w:b w:val="0"/>
          <w:bCs w:val="0"/>
          <w:i w:val="0"/>
          <w:iCs w:val="0"/>
        </w:rPr>
        <w:t xml:space="preserve">re the least generous dividend payers in absolute terms, consistent with banks generally </w:t>
      </w:r>
      <w:r>
        <w:rPr>
          <w:b w:val="0"/>
          <w:bCs w:val="0"/>
          <w:i w:val="0"/>
          <w:iCs w:val="0"/>
          <w:lang w:val="en-US"/>
        </w:rPr>
        <w:t>prioritizing</w:t>
      </w:r>
      <w:r>
        <w:rPr>
          <w:b w:val="0"/>
          <w:bCs w:val="0"/>
          <w:i w:val="0"/>
          <w:iCs w:val="0"/>
        </w:rPr>
        <w:t xml:space="preserve"> capital retention over payouts.</w:t>
      </w:r>
    </w:p>
    <w:p w14:paraId="1AC13E48">
      <w:pPr>
        <w:pStyle w:val="2"/>
        <w:spacing w:before="320" w:after="160"/>
      </w:pPr>
      <w:r>
        <w:t>7. Business insights, in plain terms</w:t>
      </w:r>
    </w:p>
    <w:p w14:paraId="61FC36A1">
      <w:pPr>
        <w:pStyle w:val="16"/>
        <w:numPr>
          <w:ilvl w:val="0"/>
          <w:numId w:val="1"/>
        </w:numPr>
        <w:spacing w:after="80"/>
      </w:pPr>
      <w:r>
        <w:t xml:space="preserve">No stock in this dataset lost money over the full eleven-year window, but returns ranged from +37% to +592% </w:t>
      </w:r>
      <w:r>
        <w:rPr>
          <w:lang w:val="en-US"/>
        </w:rPr>
        <w:t>-</w:t>
      </w:r>
      <w:r>
        <w:t xml:space="preserve"> sector and stock selection was the real driver of out</w:t>
      </w:r>
      <w:r>
        <w:rPr>
          <w:rFonts w:hint="default"/>
          <w:lang w:val="en-US"/>
        </w:rPr>
        <w:t xml:space="preserve"> </w:t>
      </w:r>
      <w:r>
        <w:t>performance, not simply staying invested.</w:t>
      </w:r>
    </w:p>
    <w:p w14:paraId="17BC8178">
      <w:pPr>
        <w:pStyle w:val="16"/>
        <w:numPr>
          <w:ilvl w:val="0"/>
          <w:numId w:val="1"/>
        </w:numPr>
        <w:spacing w:after="80"/>
      </w:pPr>
      <w:r>
        <w:t xml:space="preserve">Reliance Industries was the single best long-run holding, combining the highest return with only moderate volatility </w:t>
      </w:r>
      <w:r>
        <w:rPr>
          <w:lang w:val="en-US"/>
        </w:rPr>
        <w:t>-</w:t>
      </w:r>
      <w:r>
        <w:t xml:space="preserve"> an unusually favourable risk-return profile for this dataset.</w:t>
      </w:r>
    </w:p>
    <w:p w14:paraId="12B4AD8F">
      <w:pPr>
        <w:pStyle w:val="16"/>
        <w:numPr>
          <w:ilvl w:val="0"/>
          <w:numId w:val="1"/>
        </w:numPr>
        <w:spacing w:after="80"/>
      </w:pPr>
      <w:r>
        <w:t xml:space="preserve">Banking stocks offered strong average returns but the deepest crashes (up to -83% peak-to-trough for Bank of Baroda) </w:t>
      </w:r>
      <w:r>
        <w:rPr>
          <w:lang w:val="en-US"/>
        </w:rPr>
        <w:t>-</w:t>
      </w:r>
      <w:r>
        <w:t xml:space="preserve"> appropriate for investors who can tolerate large swings, less so for capital that needs protecting in a downturn.</w:t>
      </w:r>
    </w:p>
    <w:p w14:paraId="6C402606">
      <w:pPr>
        <w:pStyle w:val="16"/>
        <w:numPr>
          <w:ilvl w:val="0"/>
          <w:numId w:val="1"/>
        </w:numPr>
        <w:spacing w:after="80"/>
      </w:pPr>
      <w:r>
        <w:t xml:space="preserve">IT services was the defensive, low-volatility corner of the portfolio for most of the period, but has become the </w:t>
      </w:r>
      <w:r>
        <w:rPr>
          <w:lang w:val="en-US"/>
        </w:rPr>
        <w:t>I</w:t>
      </w:r>
      <w:r>
        <w:t>a</w:t>
      </w:r>
      <w:r>
        <w:rPr>
          <w:rFonts w:hint="default"/>
          <w:lang w:val="en-US"/>
        </w:rPr>
        <w:t>rges</w:t>
      </w:r>
      <w:r>
        <w:t>t performer in the last 12 months, with TCS, Infosys and Wipro all down over 30%. The sector's reputation for stability does not currently match its recent price action.</w:t>
      </w:r>
    </w:p>
    <w:p w14:paraId="0F358ACF">
      <w:pPr>
        <w:pStyle w:val="16"/>
        <w:numPr>
          <w:ilvl w:val="0"/>
          <w:numId w:val="1"/>
        </w:numPr>
        <w:spacing w:after="80"/>
      </w:pPr>
      <w:r>
        <w:t xml:space="preserve">A rotation into banking and auto names (SBI, Hero MotoCorp, Axis Bank, Maruti) is visible in the most recent year </w:t>
      </w:r>
      <w:r>
        <w:rPr>
          <w:lang w:val="en-US"/>
        </w:rPr>
        <w:t>-</w:t>
      </w:r>
      <w:r>
        <w:t xml:space="preserve"> this is the freshest and most decision-relevant signal in the data.</w:t>
      </w:r>
    </w:p>
    <w:p w14:paraId="50D8E5C1">
      <w:pPr>
        <w:pStyle w:val="16"/>
        <w:numPr>
          <w:ilvl w:val="0"/>
          <w:numId w:val="1"/>
        </w:numPr>
        <w:spacing w:after="80"/>
      </w:pPr>
      <w:r>
        <w:t>HDFC Bank's trading volume more than tripled over the decade, suggesting it has become one of the more liquid, institutionally favoured names in the set.</w:t>
      </w:r>
    </w:p>
    <w:p w14:paraId="66970733">
      <w:pPr>
        <w:pStyle w:val="16"/>
        <w:numPr>
          <w:ilvl w:val="0"/>
          <w:numId w:val="1"/>
        </w:numPr>
        <w:spacing w:after="80"/>
      </w:pPr>
      <w:r>
        <w:t xml:space="preserve">Tata Motors CV is too new to judge (161 trading days) but is already the most volatile stock in the dataset </w:t>
      </w:r>
      <w:r>
        <w:rPr>
          <w:lang w:val="en-US"/>
        </w:rPr>
        <w:t>-</w:t>
      </w:r>
      <w:r>
        <w:t xml:space="preserve"> worth monitoring rather than acting on yet.</w:t>
      </w:r>
    </w:p>
    <w:p w14:paraId="0DFE73FE">
      <w:pPr>
        <w:pStyle w:val="2"/>
        <w:spacing w:before="320" w:after="160"/>
      </w:pPr>
      <w:r>
        <w:t>8. Recommendations</w:t>
      </w:r>
    </w:p>
    <w:p w14:paraId="0E0BD75C">
      <w:pPr>
        <w:pStyle w:val="16"/>
        <w:numPr>
          <w:ilvl w:val="0"/>
          <w:numId w:val="1"/>
        </w:numPr>
        <w:spacing w:after="80"/>
      </w:pPr>
      <w:r>
        <w:t xml:space="preserve">Treat the current IT sector </w:t>
      </w:r>
      <w:r>
        <w:rPr>
          <w:rFonts w:hint="default"/>
          <w:lang w:val="en-US"/>
        </w:rPr>
        <w:t>wea</w:t>
      </w:r>
      <w:r>
        <w:t>kness as a signal to investigate, not ignore. Given IT's historically defensive role, a sustained 30%+ decline across all three IT names warrants a closer look at sector-specific drivers (currency, demand, contract cycles) before deciding whether this is a buying opportunity or a structural shift.</w:t>
      </w:r>
    </w:p>
    <w:p w14:paraId="26A812B1">
      <w:pPr>
        <w:pStyle w:val="16"/>
        <w:numPr>
          <w:ilvl w:val="0"/>
          <w:numId w:val="1"/>
        </w:numPr>
        <w:spacing w:after="80"/>
      </w:pPr>
      <w:r>
        <w:rPr>
          <w:rFonts w:ascii="Times New Roman" w:hAnsi="Times New Roman" w:eastAsia="SimSun" w:cs="Times New Roman"/>
        </w:rPr>
        <w:t>Re-examine position sizing on high-draw down banking names. Bank of Baroda and Axis Bank both saw draw downs exceeding 60%; if capital preservation is a priority, their volatility profile should be</w:t>
      </w:r>
      <w:r>
        <w:rPr>
          <w:rFonts w:hint="default" w:ascii="Times New Roman" w:hAnsi="Times New Roman" w:eastAsia="SimSun" w:cs="Times New Roman"/>
        </w:rPr>
        <w:t> weighed against their more moderate long-run returns.</w:t>
      </w:r>
    </w:p>
    <w:p w14:paraId="39F17C25">
      <w:pPr>
        <w:pStyle w:val="16"/>
        <w:numPr>
          <w:ilvl w:val="0"/>
          <w:numId w:val="1"/>
        </w:numPr>
        <w:spacing w:after="80"/>
      </w:pPr>
      <w:r>
        <w:t>Consider Reliance and HDFC Bank as core, lo</w:t>
      </w:r>
      <w:r>
        <w:rPr>
          <w:rFonts w:hint="default"/>
          <w:lang w:val="en-US"/>
        </w:rPr>
        <w:t>we</w:t>
      </w:r>
      <w:r>
        <w:t xml:space="preserve">r-volatility long-run holdings </w:t>
      </w:r>
      <w:r>
        <w:rPr>
          <w:lang w:val="en-US"/>
        </w:rPr>
        <w:t>-</w:t>
      </w:r>
      <w:r>
        <w:t xml:space="preserve"> both combined above-average returns with below-average </w:t>
      </w:r>
      <w:r>
        <w:rPr>
          <w:lang w:val="en-US"/>
        </w:rPr>
        <w:t>draw downs</w:t>
      </w:r>
      <w:r>
        <w:t xml:space="preserve"> relative to their peers, a rarer combination in this dataset.</w:t>
      </w:r>
    </w:p>
    <w:p w14:paraId="0CE2E5E8">
      <w:pPr>
        <w:pStyle w:val="16"/>
        <w:numPr>
          <w:ilvl w:val="0"/>
          <w:numId w:val="1"/>
        </w:numPr>
        <w:spacing w:after="80"/>
      </w:pPr>
      <w:r>
        <w:t>Hold Tata Motors CV as a watch-list item rather than a core position until it has a longer track record; 161 days is not enough to judge its true risk-return character.</w:t>
      </w:r>
    </w:p>
    <w:p w14:paraId="5D545F55">
      <w:pPr>
        <w:pStyle w:val="16"/>
        <w:numPr>
          <w:ilvl w:val="0"/>
          <w:numId w:val="1"/>
        </w:numPr>
        <w:spacing w:after="80"/>
      </w:pPr>
      <w:r>
        <w:t xml:space="preserve">Revisit this analysis quarterly. The sharpest finding in this report </w:t>
      </w:r>
      <w:r>
        <w:rPr>
          <w:lang w:val="en-US"/>
        </w:rPr>
        <w:t>-</w:t>
      </w:r>
      <w:r>
        <w:t xml:space="preserve"> the IT-to-banking rotation </w:t>
      </w:r>
      <w:r>
        <w:rPr>
          <w:lang w:val="en-US"/>
        </w:rPr>
        <w:t>-</w:t>
      </w:r>
      <w:r>
        <w:t xml:space="preserve"> only shows up when comparing the last 12 months against the 11-year average. A static, one-time view of this data would have missed it entirely.</w:t>
      </w:r>
    </w:p>
    <w:p w14:paraId="46C8DE81">
      <w:pPr>
        <w:spacing w:after="160"/>
      </w:pPr>
      <w:bookmarkStart w:id="0" w:name="_GoBack"/>
      <w:bookmarkEnd w:id="0"/>
    </w:p>
    <w:sectPr>
      <w:pgSz w:w="12240" w:h="15840"/>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UI">
    <w:panose1 w:val="020B0502040204020203"/>
    <w:charset w:val="00"/>
    <w:family w:val="auto"/>
    <w:pitch w:val="default"/>
    <w:sig w:usb0="E4002EFF" w:usb1="C000E47F"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1"/>
      <w:numFmt w:val="bullet"/>
      <w:lvlText w:val="●"/>
      <w:lvlJc w:val="left"/>
      <w:pPr>
        <w:ind w:left="720" w:hanging="360"/>
      </w:pPr>
    </w:lvl>
    <w:lvl w:ilvl="1" w:tentative="0">
      <w:start w:val="1"/>
      <w:numFmt w:val="bullet"/>
      <w:lvlText w:val="○"/>
      <w:lvlJc w:val="left"/>
      <w:pPr>
        <w:ind w:left="1440" w:hanging="360"/>
      </w:pPr>
    </w:lvl>
    <w:lvl w:ilvl="2" w:tentative="0">
      <w:start w:val="1"/>
      <w:numFmt w:val="bullet"/>
      <w:lvlText w:val="■"/>
      <w:lvlJc w:val="left"/>
      <w:pPr>
        <w:ind w:left="2160" w:hanging="360"/>
      </w:pPr>
    </w:lvl>
    <w:lvl w:ilvl="3" w:tentative="0">
      <w:start w:val="1"/>
      <w:numFmt w:val="bullet"/>
      <w:lvlText w:val="●"/>
      <w:lvlJc w:val="left"/>
      <w:pPr>
        <w:ind w:left="2880" w:hanging="360"/>
      </w:pPr>
    </w:lvl>
    <w:lvl w:ilvl="4" w:tentative="0">
      <w:start w:val="1"/>
      <w:numFmt w:val="bullet"/>
      <w:lvlText w:val="○"/>
      <w:lvlJc w:val="left"/>
      <w:pPr>
        <w:ind w:left="3600" w:hanging="360"/>
      </w:pPr>
    </w:lvl>
    <w:lvl w:ilvl="5" w:tentative="0">
      <w:start w:val="1"/>
      <w:numFmt w:val="bullet"/>
      <w:lvlText w:val="■"/>
      <w:lvlJc w:val="left"/>
      <w:pPr>
        <w:ind w:left="4320" w:hanging="360"/>
      </w:pPr>
    </w:lvl>
    <w:lvl w:ilvl="6" w:tentative="0">
      <w:start w:val="1"/>
      <w:numFmt w:val="bullet"/>
      <w:lvlText w:val="●"/>
      <w:lvlJc w:val="left"/>
      <w:pPr>
        <w:ind w:left="5040" w:hanging="360"/>
      </w:pPr>
    </w:lvl>
    <w:lvl w:ilvl="7" w:tentative="0">
      <w:start w:val="1"/>
      <w:numFmt w:val="bullet"/>
      <w:lvlText w:val="●"/>
      <w:lvlJc w:val="left"/>
      <w:pPr>
        <w:ind w:left="5760" w:hanging="360"/>
      </w:pPr>
    </w:lvl>
    <w:lvl w:ilvl="8" w:tentative="0">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isplayBackgroundShape w:val="1"/>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compatSetting w:name="compatibilityMode" w:uri="http://schemas.microsoft.com/office/word" w:val="15"/>
  </w:compat>
  <w:rsids>
    <w:rsidRoot w:val="00000000"/>
    <w:rsid w:val="3CF02EFA"/>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sz w:val="21"/>
      <w:szCs w:val="22"/>
    </w:rPr>
  </w:style>
  <w:style w:type="paragraph" w:styleId="2">
    <w:name w:val="heading 1"/>
    <w:next w:val="1"/>
    <w:qFormat/>
    <w:uiPriority w:val="0"/>
    <w:rPr>
      <w:color w:val="2E74B5"/>
      <w:sz w:val="32"/>
      <w:szCs w:val="32"/>
    </w:rPr>
  </w:style>
  <w:style w:type="paragraph" w:styleId="3">
    <w:name w:val="heading 2"/>
    <w:next w:val="1"/>
    <w:qFormat/>
    <w:uiPriority w:val="0"/>
    <w:rPr>
      <w:color w:val="2E74B5"/>
      <w:sz w:val="26"/>
      <w:szCs w:val="26"/>
    </w:rPr>
  </w:style>
  <w:style w:type="paragraph" w:styleId="4">
    <w:name w:val="heading 3"/>
    <w:next w:val="1"/>
    <w:qFormat/>
    <w:uiPriority w:val="0"/>
    <w:rPr>
      <w:color w:val="1F4D78"/>
      <w:sz w:val="24"/>
      <w:szCs w:val="24"/>
    </w:rPr>
  </w:style>
  <w:style w:type="paragraph" w:styleId="5">
    <w:name w:val="heading 4"/>
    <w:next w:val="1"/>
    <w:qFormat/>
    <w:uiPriority w:val="0"/>
    <w:rPr>
      <w:i/>
      <w:iCs/>
      <w:color w:val="2E74B5"/>
      <w:sz w:val="21"/>
      <w:szCs w:val="22"/>
    </w:rPr>
  </w:style>
  <w:style w:type="paragraph" w:styleId="6">
    <w:name w:val="heading 5"/>
    <w:next w:val="1"/>
    <w:qFormat/>
    <w:uiPriority w:val="0"/>
    <w:rPr>
      <w:color w:val="2E74B5"/>
      <w:sz w:val="21"/>
      <w:szCs w:val="22"/>
    </w:rPr>
  </w:style>
  <w:style w:type="paragraph" w:styleId="7">
    <w:name w:val="heading 6"/>
    <w:next w:val="1"/>
    <w:qFormat/>
    <w:uiPriority w:val="0"/>
    <w:rPr>
      <w:color w:val="1F4D78"/>
      <w:sz w:val="21"/>
      <w:szCs w:val="22"/>
    </w:rPr>
  </w:style>
  <w:style w:type="character" w:default="1" w:styleId="8">
    <w:name w:val="Default Paragraph Font"/>
    <w:semiHidden/>
    <w:qFormat/>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uiPriority w:val="99"/>
    <w:pPr>
      <w:spacing w:after="0" w:line="240" w:lineRule="auto"/>
    </w:pPr>
    <w:rPr>
      <w:sz w:val="20"/>
      <w:szCs w:val="20"/>
    </w:rPr>
  </w:style>
  <w:style w:type="character" w:styleId="14">
    <w:name w:val="Hyperlink"/>
    <w:unhideWhenUsed/>
    <w:qFormat/>
    <w:uiPriority w:val="99"/>
    <w:rPr>
      <w:color w:val="0563C1"/>
      <w:u w:val="single"/>
    </w:rPr>
  </w:style>
  <w:style w:type="paragraph" w:styleId="15">
    <w:name w:val="Title"/>
    <w:qFormat/>
    <w:uiPriority w:val="0"/>
    <w:rPr>
      <w:sz w:val="56"/>
      <w:szCs w:val="56"/>
    </w:rPr>
  </w:style>
  <w:style w:type="paragraph" w:styleId="16">
    <w:name w:val="List Paragraph"/>
    <w:qFormat/>
    <w:uiPriority w:val="0"/>
    <w:rPr>
      <w:sz w:val="21"/>
      <w:szCs w:val="22"/>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4</Pages>
  <Words>640</Words>
  <Characters>3246</Characters>
  <TotalTime>7</TotalTime>
  <ScaleCrop>false</ScaleCrop>
  <LinksUpToDate>false</LinksUpToDate>
  <CharactersWithSpaces>3760</CharactersWithSpaces>
  <Application>WPS Office_12.1.0.26880_F1E327BC-269C-435d-A152-05C5408002CA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2026-07-08T02:27:00Z</dcterms:created>
  <dc:creator>Un-named</dc:creator>
  <cp:lastModifiedBy>Shubham Ghosh</cp:lastModifiedBy>
  <dcterms:modified xsi:type="dcterms:W3CDTF">2026-07-09T08:09:40Z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eyJoZGlkIjoiYzBhMjUzZjZiMDZkNDUwZGNkNjI4ZTU3MDkzOGNjMjQiLCJ1c2VySWQiOiI1NjczNjI1MTgyODcifQ==</vt:lpwstr>
  </property>
  <property fmtid="{D5CDD505-2E9C-101B-9397-08002B2CF9AE}" pid="3" name="KSOProductBuildVer">
    <vt:lpwstr>1033-12.1.0.26880</vt:lpwstr>
  </property>
  <property fmtid="{D5CDD505-2E9C-101B-9397-08002B2CF9AE}" pid="4" name="ICV">
    <vt:lpwstr>B048ADCC143740129922AFE717A62CD0_12</vt:lpwstr>
  </property>
</Properties>
</file>