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emf" ContentType="image/x-emf"/>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numPr>
          <w:ilvl w:val="0"/>
          <w:numId w:val="0"/>
        </w:numPr>
        <w:spacing w:lineRule="auto" w:line="480"/>
        <w:jc w:val="both"/>
        <w:outlineLvl w:val="0"/>
        <w:rPr/>
      </w:pPr>
      <w:bookmarkStart w:id="0" w:name="_GoBack"/>
      <w:bookmarkEnd w:id="0"/>
      <w:r>
        <w:rPr>
          <w:rFonts w:cs="Times New Roman"/>
          <w:b/>
          <w:sz w:val="22"/>
          <w:szCs w:val="22"/>
        </w:rPr>
        <w:t xml:space="preserve">Title: </w:t>
      </w:r>
    </w:p>
    <w:p>
      <w:pPr>
        <w:pStyle w:val="Body"/>
        <w:numPr>
          <w:ilvl w:val="0"/>
          <w:numId w:val="0"/>
        </w:numPr>
        <w:spacing w:lineRule="auto" w:line="480"/>
        <w:jc w:val="both"/>
        <w:outlineLvl w:val="0"/>
        <w:rPr>
          <w:rFonts w:cs="Times New Roman"/>
          <w:b/>
          <w:b/>
          <w:sz w:val="22"/>
          <w:szCs w:val="22"/>
        </w:rPr>
      </w:pPr>
      <w:r>
        <w:rPr>
          <w:rFonts w:cs="Times New Roman"/>
          <w:b/>
          <w:sz w:val="22"/>
          <w:szCs w:val="22"/>
        </w:rPr>
      </w:r>
    </w:p>
    <w:p>
      <w:pPr>
        <w:pStyle w:val="Heading1"/>
        <w:spacing w:lineRule="auto" w:line="480" w:before="0" w:after="0"/>
        <w:jc w:val="both"/>
        <w:rPr/>
      </w:pPr>
      <w:r>
        <w:rPr>
          <w:sz w:val="22"/>
          <w:szCs w:val="22"/>
          <w:lang w:val="en-GB"/>
        </w:rPr>
        <w:t xml:space="preserve">Authors: </w:t>
      </w:r>
      <w:r>
        <w:rPr>
          <w:b w:val="false"/>
          <w:sz w:val="22"/>
          <w:szCs w:val="22"/>
          <w:lang w:val="en-GB"/>
        </w:rPr>
        <w:t>Shyamolina Ghosh</w:t>
      </w:r>
      <w:r>
        <w:rPr>
          <w:b w:val="false"/>
          <w:sz w:val="22"/>
          <w:szCs w:val="22"/>
          <w:vertAlign w:val="superscript"/>
          <w:lang w:val="en-GB"/>
        </w:rPr>
        <w:t>1</w:t>
      </w:r>
      <w:r>
        <w:rPr>
          <w:b w:val="false"/>
          <w:sz w:val="22"/>
          <w:szCs w:val="22"/>
          <w:lang w:val="en-GB"/>
        </w:rPr>
        <w:t xml:space="preserve"> and James D. Bever</w:t>
      </w:r>
      <w:r>
        <w:rPr>
          <w:b w:val="false"/>
          <w:sz w:val="22"/>
          <w:szCs w:val="22"/>
          <w:vertAlign w:val="superscript"/>
          <w:lang w:val="en-GB"/>
        </w:rPr>
        <w:t>2</w:t>
      </w:r>
    </w:p>
    <w:p>
      <w:pPr>
        <w:pStyle w:val="Heading1"/>
        <w:spacing w:lineRule="auto" w:line="480" w:before="0" w:after="0"/>
        <w:jc w:val="both"/>
        <w:rPr>
          <w:b w:val="false"/>
          <w:b w:val="false"/>
          <w:sz w:val="22"/>
          <w:szCs w:val="22"/>
          <w:vertAlign w:val="superscript"/>
          <w:lang w:val="en-GB"/>
        </w:rPr>
      </w:pPr>
      <w:r>
        <w:rPr>
          <w:b w:val="false"/>
          <w:sz w:val="22"/>
          <w:szCs w:val="22"/>
          <w:vertAlign w:val="superscript"/>
          <w:lang w:val="en-GB"/>
        </w:rPr>
      </w:r>
    </w:p>
    <w:p>
      <w:pPr>
        <w:pStyle w:val="Heading1"/>
        <w:spacing w:lineRule="auto" w:line="480" w:before="0" w:after="0"/>
        <w:jc w:val="both"/>
        <w:rPr/>
      </w:pPr>
      <w:r>
        <w:rPr>
          <w:sz w:val="22"/>
          <w:szCs w:val="22"/>
          <w:lang w:val="en-GB"/>
        </w:rPr>
        <w:t xml:space="preserve">Authors Affiliations: </w:t>
      </w:r>
    </w:p>
    <w:p>
      <w:pPr>
        <w:pStyle w:val="Paragraph"/>
        <w:spacing w:lineRule="auto" w:line="480" w:before="0" w:after="0"/>
        <w:ind w:hanging="0"/>
        <w:jc w:val="both"/>
        <w:rPr/>
      </w:pPr>
      <w:r>
        <w:rPr>
          <w:sz w:val="22"/>
          <w:szCs w:val="22"/>
          <w:vertAlign w:val="superscript"/>
          <w:lang w:val="en-GB"/>
        </w:rPr>
        <w:t>1</w:t>
      </w:r>
      <w:r>
        <w:rPr>
          <w:sz w:val="22"/>
          <w:szCs w:val="22"/>
          <w:lang w:val="en-GB"/>
        </w:rPr>
        <w:t>Department of Ecology and Evolutionary Biology, The University of Kansas, 1200 Sunnyside Avenue, Lawrence, KS, 66045, USA</w:t>
      </w:r>
    </w:p>
    <w:p>
      <w:pPr>
        <w:pStyle w:val="Paragraph"/>
        <w:spacing w:lineRule="auto" w:line="480"/>
        <w:ind w:hanging="0"/>
        <w:jc w:val="both"/>
        <w:rPr/>
      </w:pPr>
      <w:r>
        <w:rPr>
          <w:sz w:val="22"/>
          <w:szCs w:val="22"/>
          <w:vertAlign w:val="superscript"/>
          <w:lang w:val="en-GB"/>
        </w:rPr>
        <w:t>2</w:t>
      </w:r>
      <w:r>
        <w:rPr>
          <w:sz w:val="22"/>
          <w:szCs w:val="22"/>
          <w:lang w:val="en-GB"/>
        </w:rPr>
        <w:t xml:space="preserve">Department of Ecology and Evolutionary Biology, The University of Kansas, </w:t>
      </w:r>
      <w:r>
        <w:rPr>
          <w:sz w:val="22"/>
          <w:szCs w:val="22"/>
        </w:rPr>
        <w:t>1200 Sunnyside Avenue, Lawrence, KS, 66045, USA</w:t>
      </w:r>
    </w:p>
    <w:p>
      <w:pPr>
        <w:pStyle w:val="Paragraph"/>
        <w:spacing w:lineRule="auto" w:line="480"/>
        <w:ind w:hanging="0"/>
        <w:jc w:val="both"/>
        <w:rPr>
          <w:sz w:val="22"/>
          <w:szCs w:val="22"/>
        </w:rPr>
      </w:pPr>
      <w:r>
        <w:rPr>
          <w:sz w:val="22"/>
          <w:szCs w:val="22"/>
        </w:rPr>
      </w:r>
    </w:p>
    <w:p>
      <w:pPr>
        <w:pStyle w:val="Paragraph"/>
        <w:spacing w:lineRule="auto" w:line="480"/>
        <w:ind w:hanging="0"/>
        <w:jc w:val="both"/>
        <w:rPr/>
      </w:pPr>
      <w:r>
        <w:rPr>
          <w:b/>
          <w:sz w:val="22"/>
          <w:szCs w:val="22"/>
          <w:lang w:val="en-GB"/>
        </w:rPr>
        <w:t>Corresponding Author:</w:t>
      </w:r>
      <w:r>
        <w:rPr>
          <w:sz w:val="22"/>
          <w:szCs w:val="22"/>
          <w:lang w:val="en-GB"/>
        </w:rPr>
        <w:t xml:space="preserve"> James D. Bever; Department of Ecology and Evolutionary Biology, The University of Kansas, 1200 Sunnyside Avenue, Lawrence, KS, 66045, USA; </w:t>
      </w:r>
      <w:hyperlink r:id="rId2">
        <w:r>
          <w:rPr>
            <w:rStyle w:val="InternetLink"/>
            <w:rFonts w:ascii="Roboto;RobotoDraft;Helvetica;Arial;sans-serif" w:hAnsi="Roboto;RobotoDraft;Helvetica;Arial;sans-serif"/>
            <w:b w:val="false"/>
            <w:i w:val="false"/>
            <w:caps w:val="false"/>
            <w:smallCaps w:val="false"/>
            <w:color w:val="202124"/>
            <w:spacing w:val="0"/>
            <w:sz w:val="22"/>
            <w:szCs w:val="22"/>
            <w:lang w:val="en-GB"/>
          </w:rPr>
          <w:t>jbever@ku.edu</w:t>
        </w:r>
      </w:hyperlink>
      <w:r>
        <w:rPr>
          <w:rFonts w:ascii="Roboto;RobotoDraft;Helvetica;Arial;sans-serif" w:hAnsi="Roboto;RobotoDraft;Helvetica;Arial;sans-serif"/>
          <w:b w:val="false"/>
          <w:i w:val="false"/>
          <w:caps w:val="false"/>
          <w:smallCaps w:val="false"/>
          <w:color w:val="202124"/>
          <w:spacing w:val="0"/>
          <w:sz w:val="22"/>
          <w:szCs w:val="22"/>
          <w:lang w:val="en-GB"/>
        </w:rPr>
        <w:t xml:space="preserve"> </w:t>
      </w:r>
      <w:r>
        <w:br w:type="page"/>
      </w:r>
    </w:p>
    <w:p>
      <w:pPr>
        <w:pStyle w:val="Normal"/>
        <w:spacing w:lineRule="auto" w:line="480"/>
        <w:ind w:hanging="0"/>
        <w:jc w:val="both"/>
        <w:rPr/>
      </w:pPr>
      <w:r>
        <w:rPr>
          <w:b/>
          <w:sz w:val="22"/>
          <w:szCs w:val="22"/>
          <w:lang w:val="de-DE"/>
        </w:rPr>
        <w:t>Abstract</w:t>
      </w:r>
    </w:p>
    <w:p>
      <w:pPr>
        <w:pStyle w:val="Body"/>
        <w:spacing w:lineRule="auto" w:line="480"/>
        <w:jc w:val="both"/>
        <w:rPr>
          <w:rFonts w:cs="Times New Roman"/>
          <w:sz w:val="22"/>
          <w:szCs w:val="22"/>
        </w:rPr>
      </w:pPr>
      <w:r>
        <w:rPr>
          <w:rFonts w:cs="Times New Roman"/>
          <w:sz w:val="22"/>
          <w:szCs w:val="22"/>
        </w:rPr>
      </w:r>
    </w:p>
    <w:p>
      <w:pPr>
        <w:pStyle w:val="Body"/>
        <w:spacing w:lineRule="auto" w:line="480"/>
        <w:jc w:val="both"/>
        <w:rPr>
          <w:rFonts w:cs="Times New Roman"/>
          <w:sz w:val="22"/>
          <w:szCs w:val="22"/>
        </w:rPr>
      </w:pPr>
      <w:r>
        <w:rPr>
          <w:rFonts w:cs="Times New Roman"/>
          <w:sz w:val="22"/>
          <w:szCs w:val="22"/>
        </w:rPr>
      </w:r>
    </w:p>
    <w:p>
      <w:pPr>
        <w:pStyle w:val="Body"/>
        <w:numPr>
          <w:ilvl w:val="0"/>
          <w:numId w:val="0"/>
        </w:numPr>
        <w:spacing w:lineRule="auto" w:line="480"/>
        <w:jc w:val="both"/>
        <w:outlineLvl w:val="0"/>
        <w:rPr/>
      </w:pPr>
      <w:r>
        <w:rPr>
          <w:rFonts w:cs="Times New Roman"/>
          <w:b/>
          <w:sz w:val="22"/>
          <w:szCs w:val="22"/>
        </w:rPr>
        <w:t>Keywords</w:t>
      </w:r>
      <w:r>
        <w:rPr>
          <w:rFonts w:cs="Times New Roman"/>
          <w:sz w:val="22"/>
          <w:szCs w:val="22"/>
        </w:rPr>
        <w:t>: preferential allocation, resource competition, species coexistence.</w:t>
      </w:r>
    </w:p>
    <w:p>
      <w:pPr>
        <w:pStyle w:val="Body"/>
        <w:spacing w:lineRule="auto" w:line="480"/>
        <w:jc w:val="both"/>
        <w:rPr>
          <w:rFonts w:cs="Times New Roman"/>
          <w:sz w:val="22"/>
          <w:szCs w:val="22"/>
        </w:rPr>
      </w:pPr>
      <w:r>
        <w:rPr>
          <w:rFonts w:cs="Times New Roman"/>
          <w:sz w:val="22"/>
          <w:szCs w:val="22"/>
        </w:rPr>
      </w:r>
      <w:r>
        <w:br w:type="page"/>
      </w:r>
    </w:p>
    <w:p>
      <w:pPr>
        <w:pStyle w:val="Body"/>
        <w:numPr>
          <w:ilvl w:val="0"/>
          <w:numId w:val="0"/>
        </w:numPr>
        <w:spacing w:lineRule="auto" w:line="480"/>
        <w:jc w:val="both"/>
        <w:outlineLvl w:val="0"/>
        <w:rPr/>
      </w:pPr>
      <w:r>
        <w:rPr>
          <w:rFonts w:cs="Times New Roman"/>
          <w:b/>
          <w:sz w:val="22"/>
          <w:szCs w:val="22"/>
          <w:lang w:val="fr-FR"/>
        </w:rPr>
        <w:t>Introduction</w:t>
      </w:r>
    </w:p>
    <w:p>
      <w:pPr>
        <w:pStyle w:val="Body"/>
        <w:spacing w:lineRule="auto" w:line="480"/>
        <w:jc w:val="both"/>
        <w:rPr>
          <w:rFonts w:cs="Times New Roman"/>
          <w:sz w:val="22"/>
          <w:szCs w:val="22"/>
        </w:rPr>
      </w:pPr>
      <w:r>
        <w:rPr>
          <w:rFonts w:cs="Times New Roman"/>
          <w:sz w:val="22"/>
          <w:szCs w:val="22"/>
        </w:rPr>
      </w:r>
    </w:p>
    <w:p>
      <w:pPr>
        <w:pStyle w:val="Body"/>
        <w:spacing w:lineRule="auto" w:line="480"/>
        <w:jc w:val="both"/>
        <w:rPr>
          <w:rFonts w:cs="Times New Roman"/>
          <w:sz w:val="22"/>
          <w:szCs w:val="22"/>
        </w:rPr>
      </w:pPr>
      <w:r>
        <w:rPr>
          <w:rFonts w:cs="Times New Roman"/>
          <w:sz w:val="22"/>
          <w:szCs w:val="22"/>
        </w:rPr>
      </w:r>
    </w:p>
    <w:p>
      <w:pPr>
        <w:pStyle w:val="Body"/>
        <w:numPr>
          <w:ilvl w:val="0"/>
          <w:numId w:val="0"/>
        </w:numPr>
        <w:spacing w:lineRule="auto" w:line="480"/>
        <w:jc w:val="both"/>
        <w:outlineLvl w:val="0"/>
        <w:rPr/>
      </w:pPr>
      <w:r>
        <w:rPr>
          <w:rFonts w:cs="Times New Roman"/>
          <w:b/>
          <w:sz w:val="22"/>
          <w:szCs w:val="22"/>
        </w:rPr>
        <w:t>The Model</w:t>
      </w:r>
    </w:p>
    <w:p>
      <w:pPr>
        <w:pStyle w:val="Body"/>
        <w:spacing w:lineRule="auto" w:line="480"/>
        <w:jc w:val="both"/>
        <w:rPr/>
      </w:pPr>
      <w:r>
        <w:rPr>
          <w:rFonts w:cs="Times New Roman"/>
          <w:sz w:val="22"/>
          <w:szCs w:val="22"/>
        </w:rPr>
        <w:tab/>
        <w:t>In comparison to past work, we here present a better representation of plant-mycorr</w:t>
      </w:r>
      <w:r>
        <w:rPr>
          <w:rFonts w:cs="Times New Roman"/>
          <w:sz w:val="22"/>
          <w:szCs w:val="22"/>
        </w:rPr>
        <w:t>h</w:t>
      </w:r>
      <w:r>
        <w:rPr>
          <w:rFonts w:cs="Times New Roman"/>
          <w:sz w:val="22"/>
          <w:szCs w:val="22"/>
        </w:rPr>
        <w:t xml:space="preserve">izal </w:t>
      </w:r>
      <w:r>
        <w:rPr>
          <w:rFonts w:cs="Times New Roman"/>
          <w:sz w:val="22"/>
          <w:szCs w:val="22"/>
        </w:rPr>
        <w:t>community dynamics which involves all the four key variables, namely, plant’s preferentially allocated carbon (C</w:t>
      </w:r>
      <w:r>
        <w:rPr>
          <w:rFonts w:cs="Times New Roman"/>
          <w:sz w:val="22"/>
          <w:szCs w:val="22"/>
          <w:vertAlign w:val="subscript"/>
        </w:rPr>
        <w:t>a</w:t>
      </w:r>
      <w:r>
        <w:rPr>
          <w:rFonts w:cs="Times New Roman"/>
          <w:sz w:val="22"/>
          <w:szCs w:val="22"/>
        </w:rPr>
        <w:t>) to mutualist, plant’s construction carbon (C</w:t>
      </w:r>
      <w:r>
        <w:rPr>
          <w:rFonts w:cs="Times New Roman"/>
          <w:sz w:val="22"/>
          <w:szCs w:val="22"/>
          <w:vertAlign w:val="subscript"/>
        </w:rPr>
        <w:t>c</w:t>
      </w:r>
      <w:r>
        <w:rPr>
          <w:rFonts w:cs="Times New Roman"/>
          <w:sz w:val="22"/>
          <w:szCs w:val="22"/>
        </w:rPr>
        <w:t xml:space="preserve">) and both symbionts (mutualist (M) and non-mutualist (N)). Mutualists uptake C from plant and in return supply inorganic phosphorus to plant’s root whereas non-mutualists serve as a parasite to the host plant by taking only the resource carbon from the plant. Plants initially, therefore, invest their resource carbon to both types of fungi to recognize the beneficial one for them and then allocate their resources particularly to the mutualists. This preferential carbon-allocation depends on the fidelity (f) of the plant to the beneficial mutualists, which in turn depends on the spatial structure of AMF- hyphae, close morphological proximity of roots and nodules and the ability of plants to allocating resources preferentially to mutualists even in absence of spatial structures. Both symbionts compete with each other to get advantage on the resources and mutualists have to pay a cost (s) due to mutualism which can reduce its maximum growth rate. Thus, plant-mycorrhizal communities are important in stabilizing ecosystem function, C-sink in soil and sustainable agriculture.  </w:t>
      </w:r>
    </w:p>
    <w:p>
      <w:pPr>
        <w:pStyle w:val="Body"/>
        <w:spacing w:lineRule="auto" w:line="480"/>
        <w:jc w:val="both"/>
        <w:rPr/>
      </w:pPr>
      <w:r>
        <w:rPr>
          <w:rFonts w:cs="Times New Roman"/>
          <w:sz w:val="22"/>
          <w:szCs w:val="22"/>
        </w:rPr>
        <w:tab/>
      </w:r>
      <w:r>
        <w:rPr>
          <w:rFonts w:cs="Times New Roman"/>
          <w:sz w:val="22"/>
          <w:szCs w:val="22"/>
        </w:rPr>
        <w:t>From</w:t>
      </w:r>
      <w:r>
        <w:rPr>
          <w:rFonts w:cs="Times New Roman"/>
          <w:sz w:val="22"/>
          <w:szCs w:val="22"/>
        </w:rPr>
        <w:t xml:space="preserve"> our model </w:t>
      </w:r>
      <w:r>
        <w:rPr>
          <w:rFonts w:cs="Times New Roman"/>
          <w:sz w:val="22"/>
          <w:szCs w:val="22"/>
        </w:rPr>
        <w:t xml:space="preserve">as represented by Equations (1 – 4), we have </w:t>
      </w:r>
      <w:r>
        <w:rPr>
          <w:rFonts w:cs="Times New Roman"/>
          <w:sz w:val="22"/>
          <w:szCs w:val="22"/>
        </w:rPr>
        <w:t>deriv</w:t>
      </w:r>
      <w:r>
        <w:rPr>
          <w:rFonts w:cs="Times New Roman"/>
          <w:sz w:val="22"/>
          <w:szCs w:val="22"/>
        </w:rPr>
        <w:t xml:space="preserve">ed the condition for co-existence </w:t>
      </w:r>
      <w:r>
        <w:rPr>
          <w:rFonts w:cs="Times New Roman"/>
          <w:sz w:val="22"/>
          <w:szCs w:val="22"/>
        </w:rPr>
        <w:t>of</w:t>
      </w:r>
      <w:r>
        <w:rPr>
          <w:rFonts w:cs="Times New Roman"/>
          <w:sz w:val="22"/>
          <w:szCs w:val="22"/>
        </w:rPr>
        <w:t xml:space="preserve"> both symbionts </w:t>
      </w:r>
      <w:r>
        <w:rPr>
          <w:rFonts w:cs="Times New Roman"/>
          <w:sz w:val="22"/>
          <w:szCs w:val="22"/>
        </w:rPr>
        <w:t>and got the parameter range for fidelity (f) and cost (s). The model is represented as follows;</w:t>
      </w:r>
    </w:p>
    <w:tbl>
      <w:tblPr>
        <w:tblW w:w="9450" w:type="dxa"/>
        <w:jc w:val="left"/>
        <w:tblInd w:w="55" w:type="dxa"/>
        <w:tblBorders/>
        <w:tblCellMar>
          <w:top w:w="55" w:type="dxa"/>
          <w:left w:w="55" w:type="dxa"/>
          <w:bottom w:w="55" w:type="dxa"/>
          <w:right w:w="55" w:type="dxa"/>
        </w:tblCellMar>
      </w:tblPr>
      <w:tblGrid>
        <w:gridCol w:w="8399"/>
        <w:gridCol w:w="1051"/>
      </w:tblGrid>
      <w:tr>
        <w:trPr>
          <w:tblHeader w:val="true"/>
        </w:trPr>
        <w:tc>
          <w:tcPr>
            <w:tcW w:w="8399" w:type="dxa"/>
            <w:tcBorders/>
            <w:shd w:fill="auto" w:val="clear"/>
            <w:vAlign w:val="center"/>
          </w:tcPr>
          <w:p>
            <w:pPr>
              <w:pStyle w:val="TableContents"/>
              <w:jc w:val="center"/>
              <w:rPr/>
            </w:pPr>
            <w:r>
              <w:rPr/>
            </w:r>
            <m:oMath xmlns:m="http://schemas.openxmlformats.org/officeDocument/2006/math">
              <m:f>
                <m:num>
                  <m:sSub>
                    <m:e>
                      <m:r>
                        <w:rPr>
                          <w:rFonts w:ascii="Cambria Math" w:hAnsi="Cambria Math"/>
                        </w:rPr>
                        <m:t xml:space="preserve">dC</m:t>
                      </m:r>
                    </m:e>
                    <m:sub>
                      <m:r>
                        <w:rPr>
                          <w:rFonts w:ascii="Cambria Math" w:hAnsi="Cambria Math"/>
                        </w:rPr>
                        <m:t xml:space="preserve">a</m:t>
                      </m:r>
                    </m:sub>
                  </m:sSub>
                </m:num>
                <m:den>
                  <m:r>
                    <w:rPr>
                      <w:rFonts w:ascii="Cambria Math" w:hAnsi="Cambria Math"/>
                    </w:rPr>
                    <m:t xml:space="preserve">dt</m:t>
                  </m:r>
                </m:den>
              </m:f>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P</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a</m:t>
                  </m:r>
                </m:sub>
              </m:sSub>
              <m:r>
                <w:rPr>
                  <w:rFonts w:ascii="Cambria Math" w:hAnsi="Cambria Math"/>
                </w:rPr>
                <m:t xml:space="preserve">F</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N</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N</m:t>
                  </m:r>
                </m:e>
              </m:d>
              <m:r>
                <w:rPr>
                  <w:rFonts w:ascii="Cambria Math" w:hAnsi="Cambria Math"/>
                </w:rPr>
                <m:t xml:space="preserve">=</m:t>
              </m:r>
              <m:r>
                <w:rPr>
                  <w:rFonts w:ascii="Cambria Math" w:hAnsi="Cambria Math"/>
                </w:rPr>
                <m:t xml:space="preserve">u</m:t>
              </m:r>
              <m:d>
                <m:dPr>
                  <m:begChr m:val="["/>
                  <m:endChr m:val="]"/>
                </m:dPr>
                <m:e>
                  <m:f>
                    <m:num>
                      <m:r>
                        <w:rPr>
                          <w:rFonts w:ascii="Cambria Math" w:hAnsi="Cambria Math"/>
                        </w:rPr>
                        <m:t xml:space="preserve">M</m:t>
                      </m:r>
                    </m:num>
                    <m:den>
                      <m:sSub>
                        <m:e>
                          <m:r>
                            <w:rPr>
                              <w:rFonts w:ascii="Cambria Math" w:hAnsi="Cambria Math"/>
                            </w:rPr>
                            <m:t xml:space="preserve">K</m:t>
                          </m:r>
                        </m:e>
                        <m:sub>
                          <m:r>
                            <w:rPr>
                              <w:rFonts w:ascii="Cambria Math" w:hAnsi="Cambria Math"/>
                            </w:rPr>
                            <m:t xml:space="preserve">c</m:t>
                          </m:r>
                        </m:sub>
                      </m:sSub>
                      <m:r>
                        <w:rPr>
                          <w:rFonts w:ascii="Cambria Math" w:hAnsi="Cambria Math"/>
                        </w:rPr>
                        <m:t xml:space="preserve">+</m:t>
                      </m:r>
                      <m:r>
                        <w:rPr>
                          <w:rFonts w:ascii="Cambria Math" w:hAnsi="Cambria Math"/>
                        </w:rPr>
                        <m:t xml:space="preserve">M</m:t>
                      </m:r>
                    </m:den>
                  </m:f>
                </m:e>
              </m:d>
              <m:d>
                <m:dPr>
                  <m:begChr m:val="["/>
                  <m:endChr m:val="]"/>
                </m:dPr>
                <m:e>
                  <m:f>
                    <m:num>
                      <m:f>
                        <m:fPr>
                          <m:type m:val="lin"/>
                        </m:fPr>
                        <m:num>
                          <m:r>
                            <w:rPr>
                              <w:rFonts w:ascii="Cambria Math" w:hAnsi="Cambria Math"/>
                            </w:rPr>
                            <m:t xml:space="preserve">M</m:t>
                          </m:r>
                        </m:num>
                        <m:den>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N</m:t>
                              </m:r>
                            </m:e>
                          </m:d>
                        </m:den>
                      </m:f>
                    </m:num>
                    <m:den>
                      <m:r>
                        <w:rPr>
                          <w:rFonts w:ascii="Cambria Math" w:hAnsi="Cambria Math"/>
                        </w:rPr>
                        <m:t xml:space="preserve">1</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f</m:t>
                      </m:r>
                      <m:d>
                        <m:dPr>
                          <m:begChr m:val="["/>
                          <m:endChr m:val="]"/>
                        </m:dPr>
                        <m:e>
                          <m:f>
                            <m:fPr>
                              <m:type m:val="lin"/>
                            </m:fPr>
                            <m:num>
                              <m:r>
                                <w:rPr>
                                  <w:rFonts w:ascii="Cambria Math" w:hAnsi="Cambria Math"/>
                                </w:rPr>
                                <m:t xml:space="preserve">M</m:t>
                              </m:r>
                            </m:num>
                            <m:den>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N</m:t>
                                  </m:r>
                                </m:e>
                              </m:d>
                            </m:den>
                          </m:f>
                        </m:e>
                      </m:d>
                    </m:den>
                  </m:f>
                </m:e>
              </m:d>
            </m:oMath>
          </w:p>
        </w:tc>
        <w:tc>
          <w:tcPr>
            <w:tcW w:w="1051" w:type="dxa"/>
            <w:tcBorders/>
            <w:shd w:fill="auto" w:val="clear"/>
            <w:vAlign w:val="center"/>
          </w:tcPr>
          <w:p>
            <w:pPr>
              <w:pStyle w:val="TableContents"/>
              <w:jc w:val="right"/>
              <w:rPr/>
            </w:pPr>
            <w:r>
              <w:rPr/>
              <w:t>(</w:t>
            </w:r>
            <w:r>
              <w:rPr/>
              <w:fldChar w:fldCharType="begin"/>
            </w:r>
            <w:r>
              <w:instrText> SEQ Text \* ARABIC </w:instrText>
            </w:r>
            <w:r>
              <w:fldChar w:fldCharType="separate"/>
            </w:r>
            <w:r>
              <w:t>1</w:t>
            </w:r>
            <w:r>
              <w:fldChar w:fldCharType="end"/>
            </w:r>
            <w:r>
              <w:rPr/>
              <w:t>)</w:t>
            </w:r>
          </w:p>
        </w:tc>
      </w:tr>
    </w:tbl>
    <w:p>
      <w:pPr>
        <w:pStyle w:val="Body"/>
        <w:spacing w:lineRule="auto" w:line="480"/>
        <w:jc w:val="both"/>
        <w:rPr>
          <w:rFonts w:cs="Times New Roman"/>
          <w:sz w:val="22"/>
          <w:szCs w:val="22"/>
        </w:rPr>
      </w:pPr>
      <w:r>
        <w:rPr>
          <w:rFonts w:cs="Times New Roman"/>
          <w:sz w:val="22"/>
          <w:szCs w:val="22"/>
        </w:rPr>
        <w:tab/>
        <w:tab/>
      </w:r>
    </w:p>
    <w:tbl>
      <w:tblPr>
        <w:tblW w:w="9450" w:type="dxa"/>
        <w:jc w:val="left"/>
        <w:tblInd w:w="55" w:type="dxa"/>
        <w:tblBorders/>
        <w:tblCellMar>
          <w:top w:w="55" w:type="dxa"/>
          <w:left w:w="55" w:type="dxa"/>
          <w:bottom w:w="55" w:type="dxa"/>
          <w:right w:w="55" w:type="dxa"/>
        </w:tblCellMar>
      </w:tblPr>
      <w:tblGrid>
        <w:gridCol w:w="8399"/>
        <w:gridCol w:w="1051"/>
      </w:tblGrid>
      <w:tr>
        <w:trPr>
          <w:tblHeader w:val="true"/>
        </w:trPr>
        <w:tc>
          <w:tcPr>
            <w:tcW w:w="8399" w:type="dxa"/>
            <w:tcBorders/>
            <w:shd w:fill="auto" w:val="clear"/>
            <w:vAlign w:val="center"/>
          </w:tcPr>
          <w:p>
            <w:pPr>
              <w:pStyle w:val="TableContents"/>
              <w:jc w:val="center"/>
              <w:rPr/>
            </w:pPr>
            <w:r>
              <w:rPr/>
            </w:r>
            <m:oMath xmlns:m="http://schemas.openxmlformats.org/officeDocument/2006/math">
              <m:f>
                <m:num>
                  <m:r>
                    <w:rPr>
                      <w:rFonts w:ascii="Cambria Math" w:hAnsi="Cambria Math"/>
                    </w:rPr>
                    <m:t xml:space="preserve">dM</m:t>
                  </m:r>
                </m:num>
                <m:den>
                  <m:r>
                    <w:rPr>
                      <w:rFonts w:ascii="Cambria Math" w:hAnsi="Cambria Math"/>
                    </w:rPr>
                    <m:t xml:space="preserve">dt</m:t>
                  </m:r>
                </m:den>
              </m:f>
              <m:r>
                <w:rPr>
                  <w:rFonts w:ascii="Cambria Math" w:hAnsi="Cambria Math"/>
                </w:rPr>
                <m:t xml:space="preserve">=</m:t>
              </m:r>
              <m:d>
                <m:dPr>
                  <m:begChr m:val="["/>
                  <m:endChr m:val="]"/>
                </m:dPr>
                <m:e>
                  <m:f>
                    <m:num>
                      <m:sSub>
                        <m:e>
                          <m:r>
                            <w:rPr>
                              <w:rFonts w:ascii="Cambria Math" w:hAnsi="Cambria Math"/>
                            </w:rPr>
                            <m:t xml:space="preserve">b</m:t>
                          </m:r>
                        </m:e>
                        <m:sub>
                          <m:r>
                            <w:rPr>
                              <w:rFonts w:ascii="Cambria Math" w:hAnsi="Cambria Math"/>
                            </w:rPr>
                            <m:t xml:space="preserve">max</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s</m:t>
                          </m:r>
                        </m:e>
                      </m:d>
                      <m:d>
                        <m:dPr>
                          <m:begChr m:val="("/>
                          <m:endChr m:val=")"/>
                        </m:dPr>
                        <m:e>
                          <m:sSub>
                            <m:e>
                              <m:r>
                                <w:rPr>
                                  <w:rFonts w:ascii="Cambria Math" w:hAnsi="Cambria Math"/>
                                </w:rPr>
                                <m:t xml:space="preserve">C</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c</m:t>
                              </m:r>
                            </m:sub>
                          </m:sSub>
                        </m:e>
                      </m:d>
                    </m:num>
                    <m:den>
                      <m:sSub>
                        <m:e>
                          <m:r>
                            <w:rPr>
                              <w:rFonts w:ascii="Cambria Math" w:hAnsi="Cambria Math"/>
                            </w:rPr>
                            <m:t xml:space="preserve">K</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c</m:t>
                          </m:r>
                        </m:sub>
                      </m:sSub>
                    </m:den>
                  </m:f>
                  <m:r>
                    <w:rPr>
                      <w:rFonts w:ascii="Cambria Math" w:hAnsi="Cambria Math"/>
                    </w:rPr>
                    <m:t xml:space="preserve">−</m:t>
                  </m:r>
                  <m:r>
                    <w:rPr>
                      <w:rFonts w:ascii="Cambria Math" w:hAnsi="Cambria Math"/>
                    </w:rPr>
                    <m:t xml:space="preserve">d</m:t>
                  </m:r>
                </m:e>
              </m:d>
              <m:r>
                <w:rPr>
                  <w:rFonts w:ascii="Cambria Math" w:hAnsi="Cambria Math"/>
                </w:rPr>
                <m:t xml:space="preserve">M</m:t>
              </m:r>
            </m:oMath>
          </w:p>
        </w:tc>
        <w:tc>
          <w:tcPr>
            <w:tcW w:w="1051" w:type="dxa"/>
            <w:tcBorders/>
            <w:shd w:fill="auto" w:val="clear"/>
            <w:vAlign w:val="center"/>
          </w:tcPr>
          <w:p>
            <w:pPr>
              <w:pStyle w:val="TableContents"/>
              <w:jc w:val="right"/>
              <w:rPr/>
            </w:pPr>
            <w:r>
              <w:rPr/>
              <w:t>(</w:t>
            </w:r>
            <w:r>
              <w:rPr/>
              <w:fldChar w:fldCharType="begin"/>
            </w:r>
            <w:r>
              <w:instrText> SEQ Text \* ARABIC </w:instrText>
            </w:r>
            <w:r>
              <w:fldChar w:fldCharType="separate"/>
            </w:r>
            <w:r>
              <w:t>2</w:t>
            </w:r>
            <w:r>
              <w:fldChar w:fldCharType="end"/>
            </w:r>
            <w:r>
              <w:rPr/>
              <w:t>)</w:t>
            </w:r>
          </w:p>
        </w:tc>
      </w:tr>
    </w:tbl>
    <w:p>
      <w:pPr>
        <w:pStyle w:val="Body"/>
        <w:spacing w:lineRule="auto" w:line="480"/>
        <w:jc w:val="both"/>
        <w:rPr/>
      </w:pPr>
      <w:r>
        <w:rPr>
          <w:rFonts w:cs="Times New Roman"/>
          <w:sz w:val="22"/>
          <w:szCs w:val="22"/>
        </w:rPr>
        <w:tab/>
        <w:tab/>
        <w:tab/>
        <w:tab/>
        <w:tab/>
        <w:tab/>
        <w:tab/>
        <w:tab/>
      </w:r>
    </w:p>
    <w:tbl>
      <w:tblPr>
        <w:tblW w:w="9450" w:type="dxa"/>
        <w:jc w:val="left"/>
        <w:tblInd w:w="55" w:type="dxa"/>
        <w:tblBorders/>
        <w:tblCellMar>
          <w:top w:w="55" w:type="dxa"/>
          <w:left w:w="55" w:type="dxa"/>
          <w:bottom w:w="55" w:type="dxa"/>
          <w:right w:w="55" w:type="dxa"/>
        </w:tblCellMar>
      </w:tblPr>
      <w:tblGrid>
        <w:gridCol w:w="8399"/>
        <w:gridCol w:w="1051"/>
      </w:tblGrid>
      <w:tr>
        <w:trPr>
          <w:tblHeader w:val="true"/>
          <w:trHeight w:val="900" w:hRule="atLeast"/>
        </w:trPr>
        <w:tc>
          <w:tcPr>
            <w:tcW w:w="8399" w:type="dxa"/>
            <w:tcBorders/>
            <w:shd w:fill="auto" w:val="clear"/>
            <w:vAlign w:val="center"/>
          </w:tcPr>
          <w:p>
            <w:pPr>
              <w:pStyle w:val="TableContents"/>
              <w:jc w:val="center"/>
              <w:rPr/>
            </w:pPr>
            <w:r>
              <w:rPr/>
            </w:r>
            <m:oMath xmlns:m="http://schemas.openxmlformats.org/officeDocument/2006/math">
              <m:f>
                <m:num>
                  <m:r>
                    <w:rPr>
                      <w:rFonts w:ascii="Cambria Math" w:hAnsi="Cambria Math"/>
                    </w:rPr>
                    <m:t xml:space="preserve">dN</m:t>
                  </m:r>
                </m:num>
                <m:den>
                  <m:r>
                    <w:rPr>
                      <w:rFonts w:ascii="Cambria Math" w:hAnsi="Cambria Math"/>
                    </w:rPr>
                    <m:t xml:space="preserve">dt</m:t>
                  </m:r>
                </m:den>
              </m:f>
              <m:r>
                <w:rPr>
                  <w:rFonts w:ascii="Cambria Math" w:hAnsi="Cambria Math"/>
                </w:rPr>
                <m:t xml:space="preserve">=</m:t>
              </m:r>
              <m:d>
                <m:dPr>
                  <m:begChr m:val="["/>
                  <m:endChr m:val="]"/>
                </m:dPr>
                <m:e>
                  <m:f>
                    <m:num>
                      <m:sSub>
                        <m:e>
                          <m:r>
                            <w:rPr>
                              <w:rFonts w:ascii="Cambria Math" w:hAnsi="Cambria Math"/>
                            </w:rPr>
                            <m:t xml:space="preserve">b</m:t>
                          </m:r>
                        </m:e>
                        <m:sub>
                          <m:r>
                            <w:rPr>
                              <w:rFonts w:ascii="Cambria Math" w:hAnsi="Cambria Math"/>
                            </w:rPr>
                            <m:t xml:space="preserve">max</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f</m:t>
                          </m:r>
                        </m:e>
                      </m:d>
                      <m:d>
                        <m:dPr>
                          <m:begChr m:val="["/>
                          <m:endChr m:val="]"/>
                        </m:dPr>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f</m:t>
                              </m:r>
                            </m:e>
                          </m:d>
                          <m:sSub>
                            <m:e>
                              <m:r>
                                <w:rPr>
                                  <w:rFonts w:ascii="Cambria Math" w:hAnsi="Cambria Math"/>
                                </w:rPr>
                                <m:t xml:space="preserve">C</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c</m:t>
                              </m:r>
                            </m:sub>
                          </m:sSub>
                        </m:e>
                      </m:d>
                    </m:num>
                    <m:den>
                      <m:sSub>
                        <m:e>
                          <m:r>
                            <w:rPr>
                              <w:rFonts w:ascii="Cambria Math" w:hAnsi="Cambria Math"/>
                            </w:rPr>
                            <m:t xml:space="preserve">K</m:t>
                          </m:r>
                        </m:e>
                        <m:sub>
                          <m:r>
                            <w:rPr>
                              <w:rFonts w:ascii="Cambria Math" w:hAnsi="Cambria Math"/>
                            </w:rPr>
                            <m:t xml:space="preserve">N</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f</m:t>
                          </m:r>
                        </m:e>
                      </m:d>
                      <m:d>
                        <m:dPr>
                          <m:begChr m:val="["/>
                          <m:endChr m:val="]"/>
                        </m:dPr>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f</m:t>
                              </m:r>
                            </m:e>
                          </m:d>
                          <m:sSub>
                            <m:e>
                              <m:r>
                                <w:rPr>
                                  <w:rFonts w:ascii="Cambria Math" w:hAnsi="Cambria Math"/>
                                </w:rPr>
                                <m:t xml:space="preserve">C</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c</m:t>
                              </m:r>
                            </m:sub>
                          </m:sSub>
                        </m:e>
                      </m:d>
                    </m:den>
                  </m:f>
                  <m:r>
                    <w:rPr>
                      <w:rFonts w:ascii="Cambria Math" w:hAnsi="Cambria Math"/>
                    </w:rPr>
                    <m:t xml:space="preserve">−</m:t>
                  </m:r>
                  <m:r>
                    <w:rPr>
                      <w:rFonts w:ascii="Cambria Math" w:hAnsi="Cambria Math"/>
                    </w:rPr>
                    <m:t xml:space="preserve">d</m:t>
                  </m:r>
                </m:e>
              </m:d>
              <m:r>
                <w:rPr>
                  <w:rFonts w:ascii="Cambria Math" w:hAnsi="Cambria Math"/>
                </w:rPr>
                <m:t xml:space="preserve">N</m:t>
              </m:r>
            </m:oMath>
          </w:p>
        </w:tc>
        <w:tc>
          <w:tcPr>
            <w:tcW w:w="1051" w:type="dxa"/>
            <w:tcBorders/>
            <w:shd w:fill="auto" w:val="clear"/>
            <w:vAlign w:val="center"/>
          </w:tcPr>
          <w:p>
            <w:pPr>
              <w:pStyle w:val="TableContents"/>
              <w:jc w:val="right"/>
              <w:rPr/>
            </w:pPr>
            <w:r>
              <w:rPr/>
              <w:t>(</w:t>
            </w:r>
            <w:r>
              <w:rPr/>
              <w:fldChar w:fldCharType="begin"/>
            </w:r>
            <w:r>
              <w:instrText> SEQ Text \* ARABIC </w:instrText>
            </w:r>
            <w:r>
              <w:fldChar w:fldCharType="separate"/>
            </w:r>
            <w:r>
              <w:t>3</w:t>
            </w:r>
            <w:r>
              <w:fldChar w:fldCharType="end"/>
            </w:r>
            <w:r>
              <w:rPr/>
              <w:t>)</w:t>
            </w:r>
          </w:p>
        </w:tc>
      </w:tr>
    </w:tbl>
    <w:p>
      <w:pPr>
        <w:pStyle w:val="Normal"/>
        <w:spacing w:lineRule="auto" w:line="480" w:before="0" w:after="0"/>
        <w:contextualSpacing/>
        <w:jc w:val="both"/>
        <w:rPr/>
      </w:pPr>
      <w:r>
        <w:rPr>
          <w:sz w:val="22"/>
          <w:szCs w:val="22"/>
        </w:rPr>
        <w:tab/>
        <w:tab/>
        <w:tab/>
        <w:tab/>
        <w:tab/>
        <w:tab/>
        <w:tab/>
      </w:r>
    </w:p>
    <w:tbl>
      <w:tblPr>
        <w:tblW w:w="9450" w:type="dxa"/>
        <w:jc w:val="left"/>
        <w:tblInd w:w="55" w:type="dxa"/>
        <w:tblBorders/>
        <w:tblCellMar>
          <w:top w:w="55" w:type="dxa"/>
          <w:left w:w="55" w:type="dxa"/>
          <w:bottom w:w="55" w:type="dxa"/>
          <w:right w:w="55" w:type="dxa"/>
        </w:tblCellMar>
      </w:tblPr>
      <w:tblGrid>
        <w:gridCol w:w="8399"/>
        <w:gridCol w:w="1051"/>
      </w:tblGrid>
      <w:tr>
        <w:trPr>
          <w:tblHeader w:val="true"/>
        </w:trPr>
        <w:tc>
          <w:tcPr>
            <w:tcW w:w="8399" w:type="dxa"/>
            <w:tcBorders/>
            <w:shd w:fill="auto" w:val="clear"/>
            <w:vAlign w:val="center"/>
          </w:tcPr>
          <w:p>
            <w:pPr>
              <w:pStyle w:val="TableContents"/>
              <w:jc w:val="center"/>
              <w:rPr/>
            </w:pPr>
            <w:r>
              <w:rPr/>
            </w:r>
            <m:oMath xmlns:m="http://schemas.openxmlformats.org/officeDocument/2006/math">
              <m:f>
                <m:num>
                  <m:sSub>
                    <m:e>
                      <m:r>
                        <w:rPr>
                          <w:rFonts w:ascii="Cambria Math" w:hAnsi="Cambria Math"/>
                        </w:rPr>
                        <m:t xml:space="preserve">dC</m:t>
                      </m:r>
                    </m:e>
                    <m:sub>
                      <m:r>
                        <w:rPr>
                          <w:rFonts w:ascii="Cambria Math" w:hAnsi="Cambria Math"/>
                        </w:rPr>
                        <m:t xml:space="preserve">c</m:t>
                      </m:r>
                    </m:sub>
                  </m:sSub>
                </m:num>
                <m:den>
                  <m:r>
                    <w:rPr>
                      <w:rFonts w:ascii="Cambria Math" w:hAnsi="Cambria Math"/>
                    </w:rPr>
                    <m:t xml:space="preserve">dt</m:t>
                  </m:r>
                </m:den>
              </m:f>
              <m:r>
                <w:rPr>
                  <w:rFonts w:ascii="Cambria Math" w:hAnsi="Cambria Math"/>
                </w:rPr>
                <m:t xml:space="preserve">=</m:t>
              </m:r>
              <m:r>
                <w:rPr>
                  <w:rFonts w:ascii="Cambria Math" w:hAnsi="Cambria Math"/>
                </w:rPr>
                <m:t xml:space="preserve">ϕ</m:t>
              </m:r>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N</m:t>
                  </m:r>
                </m:e>
              </m:d>
              <m:sSub>
                <m:e>
                  <m:r>
                    <w:rPr>
                      <w:rFonts w:ascii="Cambria Math" w:hAnsi="Cambria Math"/>
                    </w:rPr>
                    <m:t xml:space="preserve">C</m:t>
                  </m:r>
                </m:e>
                <m:sub>
                  <m:r>
                    <w:rPr>
                      <w:rFonts w:ascii="Cambria Math" w:hAnsi="Cambria Math"/>
                    </w:rPr>
                    <m:t xml:space="preserve">c</m:t>
                  </m:r>
                </m:sub>
              </m:sSub>
            </m:oMath>
          </w:p>
        </w:tc>
        <w:tc>
          <w:tcPr>
            <w:tcW w:w="1051" w:type="dxa"/>
            <w:tcBorders/>
            <w:shd w:fill="auto" w:val="clear"/>
            <w:vAlign w:val="center"/>
          </w:tcPr>
          <w:p>
            <w:pPr>
              <w:pStyle w:val="TableContents"/>
              <w:jc w:val="right"/>
              <w:rPr/>
            </w:pPr>
            <w:r>
              <w:rPr/>
              <w:t>(</w:t>
            </w:r>
            <w:r>
              <w:rPr/>
              <w:fldChar w:fldCharType="begin"/>
            </w:r>
            <w:r>
              <w:instrText> SEQ Text \* ARABIC </w:instrText>
            </w:r>
            <w:r>
              <w:fldChar w:fldCharType="separate"/>
            </w:r>
            <w:r>
              <w:t>4</w:t>
            </w:r>
            <w:r>
              <w:fldChar w:fldCharType="end"/>
            </w:r>
            <w:r>
              <w:rPr/>
              <w:t>)</w:t>
            </w:r>
          </w:p>
        </w:tc>
      </w:tr>
    </w:tbl>
    <w:p>
      <w:pPr>
        <w:pStyle w:val="Normal"/>
        <w:spacing w:lineRule="auto" w:line="480" w:before="0" w:after="0"/>
        <w:contextualSpacing/>
        <w:jc w:val="both"/>
        <w:rPr>
          <w:sz w:val="22"/>
          <w:szCs w:val="22"/>
        </w:rPr>
      </w:pPr>
      <w:r>
        <w:rPr/>
      </w:r>
    </w:p>
    <w:p>
      <w:pPr>
        <w:pStyle w:val="Normal"/>
        <w:spacing w:lineRule="auto" w:line="480" w:before="0" w:after="0"/>
        <w:contextualSpacing/>
        <w:jc w:val="both"/>
        <w:rPr/>
      </w:pPr>
      <w:r>
        <w:rPr>
          <w:sz w:val="22"/>
          <w:szCs w:val="22"/>
        </w:rPr>
        <w:tab/>
      </w:r>
      <w:r>
        <w:rPr/>
        <w:t>A</w:t>
      </w:r>
      <w:r>
        <w:rPr>
          <w:sz w:val="22"/>
          <w:szCs w:val="22"/>
        </w:rPr>
        <w:t xml:space="preserve">ll the terms and parameters are described in </w:t>
      </w:r>
      <w:r>
        <w:rPr>
          <w:sz w:val="22"/>
          <w:szCs w:val="22"/>
        </w:rPr>
        <w:fldChar w:fldCharType="begin"/>
      </w:r>
      <w:r>
        <w:instrText> REF Ref_Table%201 \h </w:instrText>
      </w:r>
      <w:r>
        <w:fldChar w:fldCharType="separate"/>
      </w:r>
      <w:r>
        <w:t>Table 1</w:t>
      </w:r>
      <w:r>
        <w:fldChar w:fldCharType="end"/>
      </w:r>
      <w:r>
        <w:rPr>
          <w:sz w:val="22"/>
          <w:szCs w:val="22"/>
        </w:rPr>
        <w:t xml:space="preserve">.  </w:t>
      </w:r>
      <w:r>
        <w:rPr>
          <w:sz w:val="22"/>
          <w:szCs w:val="22"/>
        </w:rPr>
        <w:t xml:space="preserve">Equation </w:t>
      </w:r>
      <w:r>
        <w:rPr>
          <w:sz w:val="22"/>
          <w:szCs w:val="22"/>
        </w:rPr>
        <w:t xml:space="preserve"> Text</w:t>
      </w:r>
      <w:r>
        <w:rPr>
          <w:sz w:val="22"/>
          <w:szCs w:val="22"/>
        </w:rPr>
        <w:t xml:space="preserve"> represents the rate of change of allocated carbon which decreases with increasing phosphorous availability (P</w:t>
      </w:r>
      <w:r>
        <w:rPr>
          <w:sz w:val="22"/>
          <w:szCs w:val="22"/>
          <w:vertAlign w:val="subscript"/>
        </w:rPr>
        <w:t>s</w:t>
      </w:r>
      <w:r>
        <w:rPr>
          <w:sz w:val="22"/>
          <w:szCs w:val="22"/>
        </w:rPr>
        <w:t xml:space="preserve">) in the soil. </w:t>
      </w:r>
      <w:r>
        <w:rPr>
          <w:sz w:val="22"/>
          <w:szCs w:val="22"/>
        </w:rPr>
        <w:t xml:space="preserve">Again, as mutualists colonize the plant roots more effectively, then their efficiency needs less investment of allocated carbon by the plant. The function F(M,N) in Equation </w:t>
      </w:r>
      <w:r>
        <w:rPr>
          <w:sz w:val="22"/>
          <w:szCs w:val="22"/>
        </w:rPr>
        <w:t xml:space="preserve"> Text</w:t>
      </w:r>
      <w:r>
        <w:rPr>
          <w:sz w:val="22"/>
          <w:szCs w:val="22"/>
        </w:rPr>
        <w:t xml:space="preserve">, which will eventually saturate at higher density of mutualists, depicts this scenario </w:t>
      </w:r>
      <w:r>
        <w:rPr>
          <w:sz w:val="22"/>
          <w:szCs w:val="22"/>
        </w:rPr>
        <w:t xml:space="preserve">as shown in </w:t>
      </w:r>
      <w:r>
        <w:rPr>
          <w:sz w:val="22"/>
          <w:szCs w:val="22"/>
        </w:rPr>
        <w:fldChar w:fldCharType="begin"/>
      </w:r>
      <w:r>
        <w:instrText> REF Ref_F(M,N)plot \h </w:instrText>
      </w:r>
      <w:r>
        <w:fldChar w:fldCharType="separate"/>
      </w:r>
      <w:r>
        <w:t>Figure 1</w:t>
      </w:r>
      <w:r>
        <w:fldChar w:fldCharType="end"/>
      </w:r>
      <w:r>
        <w:rPr>
          <w:sz w:val="22"/>
          <w:szCs w:val="22"/>
        </w:rPr>
        <w:t>.</w:t>
      </w:r>
    </w:p>
    <w:p>
      <w:pPr>
        <w:pStyle w:val="Normal"/>
        <w:spacing w:lineRule="auto" w:line="480" w:before="0" w:after="0"/>
        <w:contextualSpacing/>
        <w:jc w:val="both"/>
        <w:rPr>
          <w:sz w:val="22"/>
          <w:szCs w:val="22"/>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2743200" cy="27432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2743200" cy="2743200"/>
                    </a:xfrm>
                    <a:prstGeom prst="rect">
                      <a:avLst/>
                    </a:prstGeom>
                  </pic:spPr>
                </pic:pic>
              </a:graphicData>
            </a:graphic>
          </wp:anchor>
        </w:drawing>
      </w:r>
    </w:p>
    <w:p>
      <w:pPr>
        <w:pStyle w:val="Normal"/>
        <w:spacing w:lineRule="auto" w:line="480" w:before="0" w:after="0"/>
        <w:contextualSpacing/>
        <w:jc w:val="both"/>
        <w:rPr>
          <w:sz w:val="22"/>
          <w:szCs w:val="22"/>
        </w:rPr>
      </w:pPr>
      <w:r>
        <w:rPr/>
      </w:r>
    </w:p>
    <w:p>
      <w:pPr>
        <w:pStyle w:val="Normal"/>
        <w:spacing w:lineRule="auto" w:line="480" w:before="0" w:after="0"/>
        <w:contextualSpacing/>
        <w:jc w:val="both"/>
        <w:rPr>
          <w:sz w:val="22"/>
          <w:szCs w:val="22"/>
        </w:rPr>
      </w:pPr>
      <w:r>
        <w:rPr/>
      </w:r>
    </w:p>
    <w:p>
      <w:pPr>
        <w:pStyle w:val="Normal"/>
        <w:spacing w:lineRule="auto" w:line="480" w:before="0" w:after="0"/>
        <w:contextualSpacing/>
        <w:jc w:val="both"/>
        <w:rPr>
          <w:sz w:val="22"/>
          <w:szCs w:val="22"/>
        </w:rPr>
      </w:pPr>
      <w:r>
        <w:rPr/>
      </w:r>
    </w:p>
    <w:p>
      <w:pPr>
        <w:pStyle w:val="Normal"/>
        <w:spacing w:lineRule="auto" w:line="480" w:before="0" w:after="0"/>
        <w:contextualSpacing/>
        <w:jc w:val="both"/>
        <w:rPr>
          <w:sz w:val="22"/>
          <w:szCs w:val="22"/>
        </w:rPr>
      </w:pPr>
      <w:r>
        <w:rPr/>
      </w:r>
    </w:p>
    <w:p>
      <w:pPr>
        <w:pStyle w:val="Normal"/>
        <w:spacing w:lineRule="auto" w:line="480" w:before="0" w:after="0"/>
        <w:contextualSpacing/>
        <w:jc w:val="both"/>
        <w:rPr>
          <w:sz w:val="22"/>
          <w:szCs w:val="22"/>
        </w:rPr>
      </w:pPr>
      <w:r>
        <w:rPr/>
      </w:r>
    </w:p>
    <w:p>
      <w:pPr>
        <w:pStyle w:val="Normal"/>
        <w:spacing w:lineRule="auto" w:line="480" w:before="0" w:after="0"/>
        <w:contextualSpacing/>
        <w:jc w:val="both"/>
        <w:rPr>
          <w:sz w:val="22"/>
          <w:szCs w:val="22"/>
        </w:rPr>
      </w:pPr>
      <w:r>
        <w:rPr/>
      </w:r>
    </w:p>
    <w:p>
      <w:pPr>
        <w:pStyle w:val="Normal"/>
        <w:spacing w:lineRule="auto" w:line="480" w:before="0" w:after="0"/>
        <w:contextualSpacing/>
        <w:jc w:val="both"/>
        <w:rPr>
          <w:sz w:val="22"/>
          <w:szCs w:val="22"/>
        </w:rPr>
      </w:pPr>
      <w:r>
        <w:rPr/>
      </w:r>
    </w:p>
    <w:p>
      <w:pPr>
        <w:pStyle w:val="Normal"/>
        <w:spacing w:lineRule="auto" w:line="480" w:before="0" w:after="0"/>
        <w:contextualSpacing/>
        <w:jc w:val="both"/>
        <w:rPr>
          <w:sz w:val="22"/>
          <w:szCs w:val="22"/>
        </w:rPr>
      </w:pPr>
      <w:r>
        <w:rPr/>
      </w:r>
    </w:p>
    <w:p>
      <w:pPr>
        <w:pStyle w:val="Normal"/>
        <w:spacing w:lineRule="auto" w:line="480" w:before="0" w:after="0"/>
        <w:contextualSpacing/>
        <w:jc w:val="both"/>
        <w:rPr>
          <w:sz w:val="22"/>
          <w:szCs w:val="22"/>
        </w:rPr>
      </w:pPr>
      <w:r>
        <w:rPr/>
      </w:r>
    </w:p>
    <w:p>
      <w:pPr>
        <w:pStyle w:val="Normal"/>
        <w:spacing w:lineRule="auto" w:line="480" w:before="0" w:after="0"/>
        <w:contextualSpacing/>
        <w:jc w:val="both"/>
        <w:rPr>
          <w:sz w:val="22"/>
          <w:szCs w:val="22"/>
        </w:rPr>
      </w:pPr>
      <w:r>
        <w:rPr/>
      </w:r>
    </w:p>
    <w:p>
      <w:pPr>
        <w:pStyle w:val="Normal"/>
        <w:spacing w:lineRule="auto" w:line="480" w:before="0" w:after="0"/>
        <w:contextualSpacing/>
        <w:jc w:val="both"/>
        <w:rPr>
          <w:sz w:val="22"/>
          <w:szCs w:val="22"/>
        </w:rPr>
      </w:pPr>
      <w:r>
        <w:rPr/>
      </w:r>
    </w:p>
    <w:p>
      <w:pPr>
        <w:pStyle w:val="Normal"/>
        <w:spacing w:lineRule="auto" w:line="480" w:before="0" w:after="0"/>
        <w:contextualSpacing/>
        <w:jc w:val="both"/>
        <w:rPr>
          <w:sz w:val="22"/>
          <w:szCs w:val="22"/>
        </w:rPr>
      </w:pPr>
      <w:r>
        <w:rPr/>
      </w:r>
    </w:p>
    <w:p>
      <w:pPr>
        <w:pStyle w:val="Normal"/>
        <w:spacing w:lineRule="auto" w:line="480" w:before="0" w:after="0"/>
        <w:contextualSpacing/>
        <w:jc w:val="both"/>
        <w:rPr>
          <w:sz w:val="22"/>
          <w:szCs w:val="22"/>
        </w:rPr>
      </w:pPr>
      <w:r>
        <w:rPr/>
      </w:r>
    </w:p>
    <w:p>
      <w:pPr>
        <w:pStyle w:val="Normal"/>
        <w:spacing w:lineRule="auto" w:line="480" w:before="0" w:after="0"/>
        <w:contextualSpacing/>
        <w:jc w:val="both"/>
        <w:rPr>
          <w:sz w:val="22"/>
          <w:szCs w:val="22"/>
        </w:rPr>
      </w:pPr>
      <w:r>
        <w:rPr/>
      </w:r>
    </w:p>
    <w:p>
      <w:pPr>
        <w:pStyle w:val="Normal"/>
        <w:spacing w:lineRule="auto" w:line="480" w:before="0" w:after="0"/>
        <w:contextualSpacing/>
        <w:jc w:val="both"/>
        <w:rPr>
          <w:sz w:val="22"/>
          <w:szCs w:val="22"/>
        </w:rPr>
      </w:pPr>
      <w:r>
        <w:rPr/>
      </w:r>
    </w:p>
    <w:p>
      <w:pPr>
        <w:pStyle w:val="Normal"/>
        <w:spacing w:lineRule="auto" w:line="480" w:before="0" w:after="0"/>
        <w:contextualSpacing/>
        <w:jc w:val="both"/>
        <w:rPr>
          <w:sz w:val="22"/>
          <w:szCs w:val="22"/>
        </w:rPr>
      </w:pPr>
      <w:r>
        <w:rPr/>
      </w:r>
    </w:p>
    <w:p>
      <w:pPr>
        <w:pStyle w:val="Normal"/>
        <w:spacing w:lineRule="auto" w:line="480" w:before="0" w:after="0"/>
        <w:contextualSpacing/>
        <w:jc w:val="both"/>
        <w:rPr>
          <w:sz w:val="22"/>
          <w:szCs w:val="22"/>
        </w:rPr>
      </w:pPr>
      <w:r>
        <w:rPr/>
      </w:r>
    </w:p>
    <w:p>
      <w:pPr>
        <w:pStyle w:val="Normal"/>
        <w:spacing w:lineRule="auto" w:line="480" w:before="0" w:after="0"/>
        <w:contextualSpacing/>
        <w:jc w:val="both"/>
        <w:rPr/>
      </w:pPr>
      <w:bookmarkStart w:id="1" w:name="Ref_F(M,N)plot"/>
      <w:bookmarkEnd w:id="1"/>
      <w:r>
        <w:rPr>
          <w:sz w:val="22"/>
          <w:szCs w:val="22"/>
        </w:rPr>
        <w:t>Figure 1</w:t>
      </w:r>
      <w:bookmarkStart w:id="2" w:name="Ref_F(M,N)plot"/>
      <w:bookmarkEnd w:id="2"/>
      <w:r>
        <w:rPr>
          <w:sz w:val="22"/>
          <w:szCs w:val="22"/>
        </w:rPr>
        <w:t xml:space="preserve"> : plot show    </w:t>
      </w:r>
      <w:r>
        <w:rPr>
          <w:sz w:val="22"/>
          <w:szCs w:val="22"/>
        </w:rPr>
        <w:t xml:space="preserve">                                                                                                                                                                                               </w:t>
      </w:r>
      <w:r>
        <w:br w:type="page"/>
      </w:r>
    </w:p>
    <w:p>
      <w:pPr>
        <w:pStyle w:val="Body"/>
        <w:numPr>
          <w:ilvl w:val="0"/>
          <w:numId w:val="0"/>
        </w:numPr>
        <w:spacing w:lineRule="auto" w:line="480"/>
        <w:jc w:val="both"/>
        <w:outlineLvl w:val="0"/>
        <w:rPr/>
      </w:pPr>
      <w:r>
        <w:rPr>
          <w:rFonts w:cs="Times New Roman"/>
          <w:b/>
          <w:sz w:val="22"/>
          <w:szCs w:val="22"/>
        </w:rPr>
        <w:t>Discussion</w:t>
      </w:r>
    </w:p>
    <w:p>
      <w:pPr>
        <w:pStyle w:val="Body"/>
        <w:spacing w:lineRule="auto" w:line="480"/>
        <w:jc w:val="both"/>
        <w:rPr/>
      </w:pPr>
      <w:r>
        <w:rPr>
          <w:rFonts w:cs="Times New Roman"/>
          <w:b/>
          <w:sz w:val="22"/>
          <w:szCs w:val="22"/>
        </w:rPr>
        <w:t>Literature Cited</w:t>
      </w:r>
    </w:p>
    <w:p>
      <w:pPr>
        <w:pStyle w:val="Normal"/>
        <w:widowControl w:val="false"/>
        <w:spacing w:lineRule="auto" w:line="480"/>
        <w:ind w:left="480" w:hanging="480"/>
        <w:jc w:val="both"/>
        <w:rPr/>
      </w:pPr>
      <w:r>
        <w:rPr>
          <w:sz w:val="22"/>
          <w:szCs w:val="22"/>
        </w:rPr>
        <w:t xml:space="preserve">Bever, J.D. (2015) Preferential allocation, physio-evolutionary feedbacks, and the stability and environmental patterns of mutualism between plants and their root symbionts. </w:t>
      </w:r>
      <w:r>
        <w:rPr>
          <w:i/>
          <w:sz w:val="22"/>
          <w:szCs w:val="22"/>
        </w:rPr>
        <w:t>New Phytologist</w:t>
      </w:r>
      <w:r>
        <w:rPr>
          <w:sz w:val="22"/>
          <w:szCs w:val="22"/>
        </w:rPr>
        <w:t xml:space="preserve">, </w:t>
      </w:r>
      <w:r>
        <w:rPr>
          <w:b/>
          <w:sz w:val="22"/>
          <w:szCs w:val="22"/>
        </w:rPr>
        <w:t>205</w:t>
      </w:r>
      <w:r>
        <w:rPr>
          <w:sz w:val="22"/>
          <w:szCs w:val="22"/>
        </w:rPr>
        <w:t>, 1503–1514.</w:t>
      </w:r>
    </w:p>
    <w:p>
      <w:pPr>
        <w:pStyle w:val="Normal"/>
        <w:widowControl w:val="false"/>
        <w:spacing w:lineRule="auto" w:line="480"/>
        <w:ind w:left="480" w:hanging="480"/>
        <w:jc w:val="both"/>
        <w:rPr>
          <w:sz w:val="22"/>
          <w:szCs w:val="22"/>
        </w:rPr>
      </w:pPr>
      <w:r>
        <w:rPr/>
      </w:r>
      <w:r>
        <w:br w:type="page"/>
      </w:r>
    </w:p>
    <w:p>
      <w:pPr>
        <w:pStyle w:val="Normal"/>
        <w:widowControl w:val="false"/>
        <w:spacing w:lineRule="auto" w:line="480"/>
        <w:ind w:left="480" w:hanging="480"/>
        <w:jc w:val="both"/>
        <w:rPr/>
      </w:pPr>
      <w:r>
        <w:rPr>
          <w:b/>
          <w:sz w:val="22"/>
          <w:szCs w:val="22"/>
        </w:rPr>
        <w:t>Tables</w:t>
      </w:r>
    </w:p>
    <w:p>
      <w:pPr>
        <w:pStyle w:val="Normal"/>
        <w:widowControl w:val="false"/>
        <w:spacing w:lineRule="auto" w:line="480"/>
        <w:jc w:val="both"/>
        <w:rPr>
          <w:sz w:val="22"/>
          <w:szCs w:val="22"/>
        </w:rPr>
      </w:pPr>
      <w:r>
        <w:rPr>
          <w:sz w:val="22"/>
          <w:szCs w:val="22"/>
        </w:rPr>
      </w:r>
    </w:p>
    <w:p>
      <w:pPr>
        <w:pStyle w:val="Normal"/>
        <w:widowControl w:val="false"/>
        <w:spacing w:lineRule="auto" w:line="480"/>
        <w:ind w:left="480" w:hanging="480"/>
        <w:jc w:val="both"/>
        <w:rPr/>
      </w:pPr>
      <w:r>
        <w:rPr>
          <w:sz w:val="22"/>
          <w:szCs w:val="22"/>
        </w:rPr>
        <w:t xml:space="preserve"> </w:t>
      </w:r>
      <w:bookmarkStart w:id="3" w:name="Ref_Table%201"/>
      <w:bookmarkEnd w:id="3"/>
      <w:r>
        <w:rPr>
          <w:sz w:val="22"/>
          <w:szCs w:val="22"/>
        </w:rPr>
        <w:t>Table 1</w:t>
      </w:r>
      <w:bookmarkStart w:id="4" w:name="Ref_Table%201"/>
      <w:bookmarkEnd w:id="4"/>
      <w:r>
        <w:rPr>
          <w:sz w:val="22"/>
          <w:szCs w:val="22"/>
        </w:rPr>
        <w:t xml:space="preserve"> : </w:t>
      </w:r>
      <w:r>
        <w:rPr>
          <w:sz w:val="22"/>
          <w:szCs w:val="22"/>
        </w:rPr>
        <w:t>Description of model terms.</w:t>
      </w:r>
    </w:p>
    <w:tbl>
      <w:tblPr>
        <w:tblW w:w="9440" w:type="dxa"/>
        <w:jc w:val="left"/>
        <w:tblInd w:w="0" w:type="dxa"/>
        <w:tblBorders>
          <w:bottom w:val="single" w:sz="4" w:space="0" w:color="00000A"/>
          <w:insideH w:val="single" w:sz="4" w:space="0" w:color="00000A"/>
        </w:tblBorders>
        <w:tblCellMar>
          <w:top w:w="0" w:type="dxa"/>
          <w:left w:w="108" w:type="dxa"/>
          <w:bottom w:w="0" w:type="dxa"/>
          <w:right w:w="108" w:type="dxa"/>
        </w:tblCellMar>
        <w:tblLook w:val="0620" w:noVBand="1" w:noHBand="1" w:lastColumn="0" w:firstColumn="0" w:lastRow="0" w:firstRow="1"/>
      </w:tblPr>
      <w:tblGrid>
        <w:gridCol w:w="1350"/>
        <w:gridCol w:w="8089"/>
      </w:tblGrid>
      <w:tr>
        <w:trPr/>
        <w:tc>
          <w:tcPr>
            <w:tcW w:w="1350" w:type="dxa"/>
            <w:tcBorders>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rFonts w:ascii="Times New Roman" w:hAnsi="Times New Roman"/>
                <w:sz w:val="22"/>
                <w:szCs w:val="22"/>
              </w:rPr>
              <w:t>Model Term</w:t>
            </w:r>
          </w:p>
        </w:tc>
        <w:tc>
          <w:tcPr>
            <w:tcW w:w="8089" w:type="dxa"/>
            <w:tcBorders>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rFonts w:ascii="Times New Roman" w:hAnsi="Times New Roman"/>
                <w:sz w:val="22"/>
                <w:szCs w:val="22"/>
              </w:rPr>
              <w:t>Definition</w:t>
            </w:r>
          </w:p>
        </w:tc>
      </w:tr>
      <w:tr>
        <w:trPr/>
        <w:tc>
          <w:tcPr>
            <w:tcW w:w="1350"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position w:val="0"/>
                <w:sz w:val="22"/>
                <w:sz w:val="22"/>
                <w:szCs w:val="22"/>
                <w:vertAlign w:val="baseline"/>
              </w:rPr>
            </w:pPr>
            <w:r>
              <w:rPr>
                <w:rFonts w:ascii="Times New Roman" w:hAnsi="Times New Roman"/>
                <w:i/>
                <w:position w:val="0"/>
                <w:sz w:val="22"/>
                <w:sz w:val="22"/>
                <w:szCs w:val="22"/>
                <w:vertAlign w:val="baseline"/>
              </w:rPr>
              <w:t>C</w:t>
            </w:r>
            <w:r>
              <w:rPr>
                <w:rFonts w:ascii="Times New Roman" w:hAnsi="Times New Roman"/>
                <w:i/>
                <w:sz w:val="22"/>
                <w:szCs w:val="22"/>
                <w:vertAlign w:val="subscript"/>
              </w:rPr>
              <w:t>a</w:t>
            </w:r>
          </w:p>
        </w:tc>
        <w:tc>
          <w:tcPr>
            <w:tcW w:w="8089"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rFonts w:ascii="Times New Roman" w:hAnsi="Times New Roman"/>
                <w:sz w:val="22"/>
                <w:szCs w:val="22"/>
              </w:rPr>
              <w:t>Density of allocated carbon that is discriminately and preferentially allocated to mutualist</w:t>
            </w:r>
            <w:r>
              <w:rPr>
                <w:rFonts w:ascii="Times New Roman" w:hAnsi="Times New Roman"/>
                <w:sz w:val="22"/>
                <w:szCs w:val="22"/>
              </w:rPr>
              <w:t>s</w:t>
            </w:r>
          </w:p>
        </w:tc>
      </w:tr>
      <w:tr>
        <w:trPr/>
        <w:tc>
          <w:tcPr>
            <w:tcW w:w="1350"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position w:val="0"/>
                <w:sz w:val="22"/>
                <w:sz w:val="22"/>
                <w:szCs w:val="22"/>
                <w:vertAlign w:val="baseline"/>
              </w:rPr>
            </w:pPr>
            <w:r>
              <w:rPr>
                <w:rFonts w:ascii="Times New Roman" w:hAnsi="Times New Roman"/>
                <w:i/>
                <w:position w:val="0"/>
                <w:sz w:val="22"/>
                <w:sz w:val="22"/>
                <w:szCs w:val="22"/>
                <w:vertAlign w:val="baseline"/>
              </w:rPr>
              <w:t>C</w:t>
            </w:r>
            <w:r>
              <w:rPr>
                <w:rFonts w:ascii="Times New Roman" w:hAnsi="Times New Roman"/>
                <w:i/>
                <w:sz w:val="22"/>
                <w:szCs w:val="22"/>
                <w:vertAlign w:val="subscript"/>
              </w:rPr>
              <w:t>c</w:t>
            </w:r>
          </w:p>
        </w:tc>
        <w:tc>
          <w:tcPr>
            <w:tcW w:w="8089"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rFonts w:ascii="Times New Roman" w:hAnsi="Times New Roman"/>
                <w:sz w:val="22"/>
                <w:szCs w:val="22"/>
              </w:rPr>
              <w:t xml:space="preserve">Density of construction carbon that is allocated indiscriminately to symbionts to construct the site of symbiosis </w:t>
            </w:r>
          </w:p>
        </w:tc>
      </w:tr>
      <w:tr>
        <w:trPr>
          <w:trHeight w:val="270" w:hRule="atLeast"/>
        </w:trPr>
        <w:tc>
          <w:tcPr>
            <w:tcW w:w="1350"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rFonts w:ascii="Times New Roman" w:hAnsi="Times New Roman"/>
                <w:i/>
                <w:sz w:val="22"/>
                <w:szCs w:val="22"/>
              </w:rPr>
              <w:t>M</w:t>
            </w:r>
          </w:p>
        </w:tc>
        <w:tc>
          <w:tcPr>
            <w:tcW w:w="8089"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rFonts w:ascii="Times New Roman" w:hAnsi="Times New Roman"/>
                <w:sz w:val="22"/>
                <w:szCs w:val="22"/>
              </w:rPr>
              <w:t>Density of mutualist symbiont</w:t>
            </w:r>
          </w:p>
        </w:tc>
      </w:tr>
      <w:tr>
        <w:trPr>
          <w:trHeight w:val="270" w:hRule="atLeast"/>
        </w:trPr>
        <w:tc>
          <w:tcPr>
            <w:tcW w:w="1350" w:type="dxa"/>
            <w:tcBorders>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i/>
                <w:i/>
                <w:iCs/>
                <w:sz w:val="22"/>
                <w:szCs w:val="22"/>
              </w:rPr>
            </w:pPr>
            <w:r>
              <w:rPr>
                <w:rFonts w:ascii="Times New Roman" w:hAnsi="Times New Roman"/>
                <w:i/>
                <w:iCs/>
                <w:sz w:val="22"/>
                <w:szCs w:val="22"/>
              </w:rPr>
              <w:t xml:space="preserve">N </w:t>
            </w:r>
          </w:p>
        </w:tc>
        <w:tc>
          <w:tcPr>
            <w:tcW w:w="8089" w:type="dxa"/>
            <w:tcBorders>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rFonts w:ascii="Times New Roman" w:hAnsi="Times New Roman"/>
                <w:sz w:val="22"/>
                <w:szCs w:val="22"/>
              </w:rPr>
              <w:t>Density of non-mutualist symbiont</w:t>
            </w:r>
          </w:p>
        </w:tc>
      </w:tr>
      <w:tr>
        <w:trPr>
          <w:trHeight w:val="270" w:hRule="atLeast"/>
        </w:trPr>
        <w:tc>
          <w:tcPr>
            <w:tcW w:w="1350" w:type="dxa"/>
            <w:tcBorders>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i/>
                <w:i/>
                <w:iCs/>
                <w:sz w:val="22"/>
                <w:szCs w:val="22"/>
              </w:rPr>
            </w:pPr>
            <w:r>
              <w:rPr>
                <w:rFonts w:ascii="Times New Roman" w:hAnsi="Times New Roman"/>
                <w:i/>
                <w:iCs/>
                <w:sz w:val="22"/>
                <w:szCs w:val="22"/>
              </w:rPr>
              <w:t>F(M,N)</w:t>
            </w:r>
          </w:p>
        </w:tc>
        <w:tc>
          <w:tcPr>
            <w:tcW w:w="8089" w:type="dxa"/>
            <w:tcBorders>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rFonts w:ascii="Times New Roman" w:hAnsi="Times New Roman"/>
                <w:sz w:val="22"/>
                <w:szCs w:val="22"/>
              </w:rPr>
              <w:t>Function representing phosphorous uptake by both symbionts</w:t>
            </w:r>
          </w:p>
        </w:tc>
      </w:tr>
      <w:tr>
        <w:trPr>
          <w:trHeight w:val="270" w:hRule="atLeast"/>
        </w:trPr>
        <w:tc>
          <w:tcPr>
            <w:tcW w:w="1350" w:type="dxa"/>
            <w:tcBorders>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i/>
                <w:i/>
                <w:iCs/>
                <w:sz w:val="22"/>
                <w:szCs w:val="22"/>
              </w:rPr>
            </w:pPr>
            <w:r>
              <w:rPr>
                <w:rFonts w:ascii="Times New Roman" w:hAnsi="Times New Roman"/>
                <w:i/>
                <w:iCs/>
                <w:sz w:val="22"/>
                <w:szCs w:val="22"/>
              </w:rPr>
              <w:t>P</w:t>
            </w:r>
            <w:r>
              <w:rPr>
                <w:rFonts w:ascii="Times New Roman" w:hAnsi="Times New Roman"/>
                <w:i/>
                <w:iCs/>
                <w:sz w:val="22"/>
                <w:szCs w:val="22"/>
                <w:vertAlign w:val="subscript"/>
              </w:rPr>
              <w:t>s</w:t>
            </w:r>
          </w:p>
        </w:tc>
        <w:tc>
          <w:tcPr>
            <w:tcW w:w="8089" w:type="dxa"/>
            <w:tcBorders>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rFonts w:ascii="Times New Roman" w:hAnsi="Times New Roman"/>
                <w:sz w:val="22"/>
                <w:szCs w:val="22"/>
              </w:rPr>
              <w:t>Phosphorus availability in the soil</w:t>
            </w:r>
          </w:p>
        </w:tc>
      </w:tr>
      <w:tr>
        <w:trPr>
          <w:trHeight w:val="270" w:hRule="atLeast"/>
        </w:trPr>
        <w:tc>
          <w:tcPr>
            <w:tcW w:w="1350" w:type="dxa"/>
            <w:tcBorders>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i/>
                <w:i/>
                <w:iCs/>
                <w:sz w:val="22"/>
                <w:szCs w:val="22"/>
              </w:rPr>
            </w:pPr>
            <w:r>
              <w:rPr>
                <w:rFonts w:ascii="Times New Roman" w:hAnsi="Times New Roman"/>
                <w:i/>
                <w:iCs/>
                <w:sz w:val="22"/>
                <w:szCs w:val="22"/>
              </w:rPr>
              <w:t>u</w:t>
            </w:r>
          </w:p>
        </w:tc>
        <w:tc>
          <w:tcPr>
            <w:tcW w:w="8089" w:type="dxa"/>
            <w:tcBorders>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rFonts w:ascii="Times New Roman" w:hAnsi="Times New Roman"/>
                <w:sz w:val="22"/>
                <w:szCs w:val="22"/>
              </w:rPr>
              <w:t>Phosphorous uptake per unit of preferentially allocated carbon received by mutualists</w:t>
            </w:r>
          </w:p>
        </w:tc>
      </w:tr>
      <w:tr>
        <w:trPr/>
        <w:tc>
          <w:tcPr>
            <w:tcW w:w="1350"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rFonts w:ascii="Times New Roman" w:hAnsi="Times New Roman"/>
                <w:i/>
                <w:sz w:val="22"/>
                <w:szCs w:val="22"/>
              </w:rPr>
              <w:t>f</w:t>
            </w:r>
          </w:p>
        </w:tc>
        <w:tc>
          <w:tcPr>
            <w:tcW w:w="8089"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rFonts w:eastAsia="Calibri" w:ascii="Times New Roman" w:hAnsi="Times New Roman"/>
                <w:color w:val="262626"/>
                <w:sz w:val="22"/>
                <w:szCs w:val="22"/>
              </w:rPr>
              <w:t>Fidelity of plant allocation to mutualist symbionts</w:t>
            </w:r>
          </w:p>
        </w:tc>
      </w:tr>
      <w:tr>
        <w:trPr>
          <w:trHeight w:val="279" w:hRule="atLeast"/>
        </w:trPr>
        <w:tc>
          <w:tcPr>
            <w:tcW w:w="1350"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rFonts w:ascii="Times New Roman" w:hAnsi="Times New Roman"/>
                <w:i/>
                <w:sz w:val="22"/>
                <w:szCs w:val="22"/>
              </w:rPr>
              <w:t>s</w:t>
            </w:r>
          </w:p>
        </w:tc>
        <w:tc>
          <w:tcPr>
            <w:tcW w:w="8089"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rFonts w:ascii="Times New Roman" w:hAnsi="Times New Roman"/>
                <w:sz w:val="22"/>
                <w:szCs w:val="22"/>
              </w:rPr>
              <w:t>Cost of mutualism</w:t>
            </w:r>
          </w:p>
        </w:tc>
      </w:tr>
      <w:tr>
        <w:trPr/>
        <w:tc>
          <w:tcPr>
            <w:tcW w:w="1350"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rFonts w:ascii="Times New Roman" w:hAnsi="Times New Roman"/>
                <w:i/>
                <w:sz w:val="22"/>
                <w:szCs w:val="22"/>
              </w:rPr>
              <w:t>b</w:t>
            </w:r>
            <w:r>
              <w:rPr>
                <w:rFonts w:ascii="Times New Roman" w:hAnsi="Times New Roman"/>
                <w:i/>
                <w:sz w:val="22"/>
                <w:szCs w:val="22"/>
                <w:vertAlign w:val="subscript"/>
              </w:rPr>
              <w:t>max</w:t>
            </w:r>
          </w:p>
        </w:tc>
        <w:tc>
          <w:tcPr>
            <w:tcW w:w="8089"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rFonts w:ascii="Times New Roman" w:hAnsi="Times New Roman"/>
                <w:sz w:val="22"/>
                <w:szCs w:val="22"/>
              </w:rPr>
              <w:t>Maximum growth rate of symbionts</w:t>
            </w:r>
          </w:p>
        </w:tc>
      </w:tr>
      <w:tr>
        <w:trPr/>
        <w:tc>
          <w:tcPr>
            <w:tcW w:w="1350" w:type="dxa"/>
            <w:tcBorders>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rFonts w:ascii="Times New Roman" w:hAnsi="Times New Roman"/>
                <w:i/>
                <w:sz w:val="22"/>
                <w:szCs w:val="22"/>
              </w:rPr>
              <w:t>d</w:t>
            </w:r>
          </w:p>
        </w:tc>
        <w:tc>
          <w:tcPr>
            <w:tcW w:w="8089" w:type="dxa"/>
            <w:tcBorders>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rFonts w:ascii="Times New Roman" w:hAnsi="Times New Roman"/>
                <w:sz w:val="22"/>
                <w:szCs w:val="22"/>
              </w:rPr>
              <w:t>Constant death rate</w:t>
            </w:r>
          </w:p>
        </w:tc>
      </w:tr>
      <w:tr>
        <w:trPr>
          <w:trHeight w:val="314" w:hRule="atLeast"/>
        </w:trPr>
        <w:tc>
          <w:tcPr>
            <w:tcW w:w="1350"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rFonts w:ascii="Times New Roman" w:hAnsi="Times New Roman"/>
                <w:i/>
                <w:sz w:val="22"/>
                <w:szCs w:val="22"/>
              </w:rPr>
              <w:t>K</w:t>
            </w:r>
            <w:r>
              <w:rPr>
                <w:rFonts w:ascii="Times New Roman" w:hAnsi="Times New Roman"/>
                <w:i/>
                <w:sz w:val="22"/>
                <w:szCs w:val="22"/>
                <w:vertAlign w:val="subscript"/>
              </w:rPr>
              <w:t>c</w:t>
            </w:r>
          </w:p>
        </w:tc>
        <w:tc>
          <w:tcPr>
            <w:tcW w:w="8089"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rFonts w:ascii="Times New Roman" w:hAnsi="Times New Roman"/>
                <w:sz w:val="22"/>
                <w:szCs w:val="22"/>
              </w:rPr>
              <w:t xml:space="preserve">Half-saturation constant </w:t>
            </w:r>
            <w:r>
              <w:rPr>
                <w:rFonts w:ascii="Times New Roman" w:hAnsi="Times New Roman"/>
                <w:sz w:val="22"/>
                <w:szCs w:val="22"/>
              </w:rPr>
              <w:t>for allocated carbon</w:t>
            </w:r>
          </w:p>
        </w:tc>
      </w:tr>
      <w:tr>
        <w:trPr>
          <w:trHeight w:val="314" w:hRule="atLeast"/>
        </w:trPr>
        <w:tc>
          <w:tcPr>
            <w:tcW w:w="1350" w:type="dxa"/>
            <w:tcBorders>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rFonts w:ascii="Times New Roman" w:hAnsi="Times New Roman"/>
                <w:i/>
                <w:sz w:val="22"/>
                <w:szCs w:val="22"/>
              </w:rPr>
              <w:t>K</w:t>
            </w:r>
            <w:r>
              <w:rPr>
                <w:rFonts w:ascii="Times New Roman" w:hAnsi="Times New Roman"/>
                <w:i/>
                <w:sz w:val="22"/>
                <w:szCs w:val="22"/>
                <w:vertAlign w:val="subscript"/>
              </w:rPr>
              <w:t>M</w:t>
            </w:r>
          </w:p>
        </w:tc>
        <w:tc>
          <w:tcPr>
            <w:tcW w:w="8089" w:type="dxa"/>
            <w:tcBorders>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rFonts w:ascii="Times New Roman" w:hAnsi="Times New Roman"/>
                <w:sz w:val="22"/>
                <w:szCs w:val="22"/>
              </w:rPr>
              <w:t xml:space="preserve">Half-saturation constant </w:t>
            </w:r>
            <w:r>
              <w:rPr>
                <w:rFonts w:ascii="Times New Roman" w:hAnsi="Times New Roman"/>
                <w:sz w:val="22"/>
                <w:szCs w:val="22"/>
              </w:rPr>
              <w:t>for mutualist symbiont</w:t>
            </w:r>
          </w:p>
        </w:tc>
      </w:tr>
      <w:tr>
        <w:trPr>
          <w:trHeight w:val="314" w:hRule="atLeast"/>
        </w:trPr>
        <w:tc>
          <w:tcPr>
            <w:tcW w:w="1350" w:type="dxa"/>
            <w:tcBorders>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rFonts w:ascii="Times New Roman" w:hAnsi="Times New Roman"/>
                <w:i/>
                <w:sz w:val="22"/>
                <w:szCs w:val="22"/>
              </w:rPr>
              <w:t>K</w:t>
            </w:r>
            <w:r>
              <w:rPr>
                <w:rFonts w:ascii="Times New Roman" w:hAnsi="Times New Roman"/>
                <w:i/>
                <w:sz w:val="22"/>
                <w:szCs w:val="22"/>
                <w:vertAlign w:val="subscript"/>
              </w:rPr>
              <w:t>N</w:t>
            </w:r>
          </w:p>
        </w:tc>
        <w:tc>
          <w:tcPr>
            <w:tcW w:w="8089" w:type="dxa"/>
            <w:tcBorders>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rFonts w:ascii="Times New Roman" w:hAnsi="Times New Roman"/>
                <w:sz w:val="22"/>
                <w:szCs w:val="22"/>
              </w:rPr>
              <w:t xml:space="preserve">Half-saturation constant </w:t>
            </w:r>
            <w:r>
              <w:rPr>
                <w:rFonts w:ascii="Times New Roman" w:hAnsi="Times New Roman"/>
                <w:sz w:val="22"/>
                <w:szCs w:val="22"/>
              </w:rPr>
              <w:t>for non-mutualist symbiont</w:t>
            </w:r>
          </w:p>
        </w:tc>
      </w:tr>
      <w:tr>
        <w:trPr/>
        <w:tc>
          <w:tcPr>
            <w:tcW w:w="1350"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position w:val="0"/>
                <w:sz w:val="22"/>
                <w:sz w:val="22"/>
                <w:szCs w:val="22"/>
                <w:vertAlign w:val="baseline"/>
              </w:rPr>
            </w:pPr>
            <w:r>
              <w:rPr>
                <w:rFonts w:ascii="Times New Roman" w:hAnsi="Times New Roman"/>
                <w:i/>
                <w:position w:val="0"/>
                <w:sz w:val="22"/>
                <w:sz w:val="22"/>
                <w:szCs w:val="22"/>
                <w:vertAlign w:val="baseline"/>
              </w:rPr>
              <w:t>g</w:t>
            </w:r>
          </w:p>
        </w:tc>
        <w:tc>
          <w:tcPr>
            <w:tcW w:w="8089"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rFonts w:ascii="Times New Roman" w:hAnsi="Times New Roman"/>
                <w:sz w:val="22"/>
                <w:szCs w:val="22"/>
              </w:rPr>
              <w:t>Rate at which construction carbon is allocated to both symbionts</w:t>
            </w:r>
          </w:p>
        </w:tc>
      </w:tr>
      <w:tr>
        <w:trPr>
          <w:trHeight w:val="242" w:hRule="atLeast"/>
        </w:trPr>
        <w:tc>
          <w:tcPr>
            <w:tcW w:w="1350"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i w:val="false"/>
                <w:i w:val="false"/>
                <w:iCs w:val="false"/>
                <w:position w:val="0"/>
                <w:sz w:val="22"/>
                <w:sz w:val="22"/>
                <w:szCs w:val="22"/>
                <w:vertAlign w:val="baseline"/>
              </w:rPr>
            </w:pPr>
            <w:r>
              <w:rPr>
                <w:rFonts w:eastAsia="Arial Unicode MS" w:cs="Times New Roman" w:ascii="Times New Roman" w:hAnsi="Times New Roman"/>
                <w:i w:val="false"/>
                <w:iCs w:val="false"/>
                <w:position w:val="0"/>
                <w:sz w:val="22"/>
                <w:sz w:val="22"/>
                <w:szCs w:val="22"/>
                <w:vertAlign w:val="baseline"/>
              </w:rPr>
              <w:t>ϕ</w:t>
            </w:r>
          </w:p>
        </w:tc>
        <w:tc>
          <w:tcPr>
            <w:tcW w:w="8089"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rFonts w:ascii="Times New Roman" w:hAnsi="Times New Roman"/>
                <w:sz w:val="22"/>
                <w:szCs w:val="22"/>
              </w:rPr>
              <w:t xml:space="preserve">Source density of construction carbon </w:t>
            </w:r>
            <w:r>
              <w:rPr>
                <w:rFonts w:ascii="Times New Roman" w:hAnsi="Times New Roman"/>
                <w:sz w:val="22"/>
                <w:szCs w:val="22"/>
              </w:rPr>
              <w:t>stored in the plant</w:t>
            </w:r>
          </w:p>
        </w:tc>
      </w:tr>
    </w:tbl>
    <w:p>
      <w:pPr>
        <w:pStyle w:val="Normal"/>
        <w:spacing w:lineRule="auto" w:line="480" w:before="0" w:after="0"/>
        <w:contextualSpacing/>
        <w:jc w:val="both"/>
        <w:rPr>
          <w:sz w:val="22"/>
          <w:szCs w:val="22"/>
        </w:rPr>
      </w:pPr>
      <w:r>
        <w:rPr>
          <w:sz w:val="22"/>
          <w:szCs w:val="22"/>
        </w:rPr>
      </w:r>
      <w:r>
        <w:br w:type="page"/>
      </w:r>
    </w:p>
    <w:p>
      <w:pPr>
        <w:pStyle w:val="Normal"/>
        <w:spacing w:lineRule="auto" w:line="480" w:before="0" w:after="0"/>
        <w:contextualSpacing/>
        <w:jc w:val="both"/>
        <w:rPr/>
      </w:pPr>
      <w:r>
        <w:rPr>
          <w:b/>
          <w:sz w:val="22"/>
          <w:szCs w:val="22"/>
        </w:rPr>
        <w:t>Figure Captions</w:t>
      </w:r>
    </w:p>
    <w:p>
      <w:pPr>
        <w:pStyle w:val="Normal"/>
        <w:spacing w:lineRule="auto" w:line="480" w:before="0" w:after="0"/>
        <w:contextualSpacing/>
        <w:jc w:val="both"/>
        <w:rPr>
          <w:b/>
          <w:b/>
          <w:sz w:val="22"/>
          <w:szCs w:val="22"/>
        </w:rPr>
      </w:pPr>
      <w:r>
        <w:rPr>
          <w:b/>
          <w:sz w:val="22"/>
          <w:szCs w:val="22"/>
        </w:rPr>
      </w:r>
    </w:p>
    <w:p>
      <w:pPr>
        <w:pStyle w:val="Normal"/>
        <w:widowControl w:val="false"/>
        <w:spacing w:lineRule="auto" w:line="480"/>
        <w:jc w:val="both"/>
        <w:rPr/>
      </w:pPr>
      <w:r>
        <w:rPr>
          <w:sz w:val="22"/>
          <w:szCs w:val="22"/>
        </w:rPr>
        <w:t xml:space="preserve">Figure 1: When </w:t>
      </w:r>
      <w:r>
        <w:rPr>
          <w:i/>
          <w:sz w:val="22"/>
          <w:szCs w:val="22"/>
        </w:rPr>
        <w:t>C</w:t>
      </w:r>
      <w:r>
        <w:rPr>
          <w:i/>
          <w:sz w:val="22"/>
          <w:szCs w:val="22"/>
          <w:vertAlign w:val="subscript"/>
        </w:rPr>
        <w:t>cN</w:t>
      </w:r>
      <w:r>
        <w:rPr>
          <w:i/>
          <w:sz w:val="22"/>
          <w:szCs w:val="22"/>
        </w:rPr>
        <w:t>*</w:t>
      </w:r>
      <w:r>
        <w:rPr>
          <w:sz w:val="22"/>
          <w:szCs w:val="22"/>
        </w:rPr>
        <w:t xml:space="preserve"> &lt; </w:t>
      </w:r>
      <w:r>
        <w:rPr>
          <w:i/>
          <w:sz w:val="22"/>
          <w:szCs w:val="22"/>
        </w:rPr>
        <w:t>C</w:t>
      </w:r>
      <w:r>
        <w:rPr>
          <w:i/>
          <w:sz w:val="22"/>
          <w:szCs w:val="22"/>
          <w:vertAlign w:val="subscript"/>
        </w:rPr>
        <w:t>cM</w:t>
      </w:r>
      <w:r>
        <w:rPr>
          <w:i/>
          <w:sz w:val="22"/>
          <w:szCs w:val="22"/>
        </w:rPr>
        <w:t>*</w:t>
      </w:r>
      <w:r>
        <w:rPr>
          <w:sz w:val="22"/>
          <w:szCs w:val="22"/>
        </w:rPr>
        <w:t xml:space="preserve">, and </w:t>
      </w:r>
      <w:r>
        <w:rPr>
          <w:i/>
          <w:sz w:val="22"/>
          <w:szCs w:val="22"/>
        </w:rPr>
        <w:t>C</w:t>
      </w:r>
      <w:r>
        <w:rPr>
          <w:i/>
          <w:sz w:val="22"/>
          <w:szCs w:val="22"/>
          <w:vertAlign w:val="subscript"/>
        </w:rPr>
        <w:t>aM</w:t>
      </w:r>
      <w:r>
        <w:rPr>
          <w:i/>
          <w:sz w:val="22"/>
          <w:szCs w:val="22"/>
        </w:rPr>
        <w:t>*</w:t>
      </w:r>
      <w:r>
        <w:rPr>
          <w:sz w:val="22"/>
          <w:szCs w:val="22"/>
        </w:rPr>
        <w:t xml:space="preserve"> &lt; </w:t>
      </w:r>
      <w:r>
        <w:rPr>
          <w:i/>
          <w:sz w:val="22"/>
          <w:szCs w:val="22"/>
        </w:rPr>
        <w:t>C</w:t>
      </w:r>
      <w:r>
        <w:rPr>
          <w:i/>
          <w:sz w:val="22"/>
          <w:szCs w:val="22"/>
          <w:vertAlign w:val="subscript"/>
        </w:rPr>
        <w:t>aN</w:t>
      </w:r>
      <w:r>
        <w:rPr>
          <w:i/>
          <w:sz w:val="22"/>
          <w:szCs w:val="22"/>
        </w:rPr>
        <w:t>*</w:t>
      </w:r>
      <w:r>
        <w:rPr>
          <w:sz w:val="22"/>
          <w:szCs w:val="22"/>
        </w:rPr>
        <w:t xml:space="preserve"> for allocated carbon, a condition for coexistence of mutualist and non-mutualist symbionts exists.</w:t>
      </w:r>
      <w:r>
        <w:br w:type="page"/>
      </w:r>
    </w:p>
    <w:p>
      <w:pPr>
        <w:pStyle w:val="Body"/>
        <w:spacing w:lineRule="auto" w:line="480"/>
        <w:jc w:val="both"/>
        <w:rPr/>
      </w:pPr>
      <w:r>
        <w:rPr>
          <w:rFonts w:cs="Times New Roman"/>
          <w:b/>
          <w:sz w:val="22"/>
          <w:szCs w:val="22"/>
        </w:rPr>
        <w:t>Acknowledgements</w:t>
      </w:r>
    </w:p>
    <w:p>
      <w:pPr>
        <w:pStyle w:val="Body"/>
        <w:spacing w:lineRule="auto" w:line="480"/>
        <w:jc w:val="both"/>
        <w:rPr>
          <w:rFonts w:cs="Times New Roman"/>
          <w:sz w:val="22"/>
          <w:szCs w:val="22"/>
        </w:rPr>
      </w:pPr>
      <w:r>
        <w:rPr>
          <w:rFonts w:cs="Times New Roman"/>
          <w:sz w:val="22"/>
          <w:szCs w:val="22"/>
        </w:rPr>
      </w:r>
    </w:p>
    <w:p>
      <w:pPr>
        <w:pStyle w:val="Body"/>
        <w:spacing w:lineRule="auto" w:line="480"/>
        <w:jc w:val="both"/>
        <w:rPr>
          <w:rFonts w:cs="Times New Roman"/>
          <w:sz w:val="22"/>
          <w:szCs w:val="22"/>
        </w:rPr>
      </w:pPr>
      <w:r>
        <w:rPr>
          <w:rFonts w:cs="Times New Roman"/>
          <w:sz w:val="22"/>
          <w:szCs w:val="22"/>
        </w:rPr>
      </w:r>
    </w:p>
    <w:p>
      <w:pPr>
        <w:pStyle w:val="Body"/>
        <w:spacing w:lineRule="auto" w:line="480"/>
        <w:jc w:val="both"/>
        <w:rPr/>
      </w:pPr>
      <w:r>
        <w:rPr>
          <w:rFonts w:cs="Times New Roman"/>
          <w:b/>
          <w:sz w:val="22"/>
          <w:szCs w:val="22"/>
        </w:rPr>
        <w:t>Author Contributions</w:t>
      </w:r>
    </w:p>
    <w:p>
      <w:pPr>
        <w:pStyle w:val="Body"/>
        <w:spacing w:lineRule="auto" w:line="480"/>
        <w:jc w:val="both"/>
        <w:rPr>
          <w:rFonts w:cs="Times New Roman"/>
          <w:sz w:val="22"/>
          <w:szCs w:val="22"/>
        </w:rPr>
      </w:pPr>
      <w:r>
        <w:rPr>
          <w:rFonts w:cs="Times New Roman"/>
          <w:sz w:val="22"/>
          <w:szCs w:val="22"/>
        </w:rPr>
      </w:r>
    </w:p>
    <w:p>
      <w:pPr>
        <w:pStyle w:val="Normal"/>
        <w:widowControl w:val="false"/>
        <w:spacing w:lineRule="auto" w:line="480"/>
        <w:jc w:val="both"/>
        <w:rPr/>
      </w:pPr>
      <w:r>
        <w:rPr/>
      </w:r>
    </w:p>
    <w:sectPr>
      <w:headerReference w:type="default" r:id="rId4"/>
      <w:footerReference w:type="default" r:id="rId5"/>
      <w:type w:val="nextPage"/>
      <w:pgSz w:w="12240" w:h="15840"/>
      <w:pgMar w:left="1440" w:right="1350" w:header="720" w:top="1440" w:footer="720" w:bottom="1440" w:gutter="0"/>
      <w:lnNumType w:countBy="1" w:restart="continuous"/>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Helvetica Neue">
    <w:charset w:val="01"/>
    <w:family w:val="roman"/>
    <w:pitch w:val="variable"/>
  </w:font>
  <w:font w:name="Roboto">
    <w:altName w:val="RobotoDraft"/>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9">
              <wp:simplePos x="0" y="0"/>
              <wp:positionH relativeFrom="margin">
                <wp:align>right</wp:align>
              </wp:positionH>
              <wp:positionV relativeFrom="paragraph">
                <wp:posOffset>635</wp:posOffset>
              </wp:positionV>
              <wp:extent cx="154940" cy="174625"/>
              <wp:effectExtent l="0" t="0" r="0" b="0"/>
              <wp:wrapTopAndBottom/>
              <wp:docPr id="2" name="Frame1"/>
              <a:graphic xmlns:a="http://schemas.openxmlformats.org/drawingml/2006/main">
                <a:graphicData uri="http://schemas.microsoft.com/office/word/2010/wordprocessingShape">
                  <wps:wsp>
                    <wps:cNvSpPr/>
                    <wps:spPr>
                      <a:xfrm>
                        <a:off x="0" y="0"/>
                        <a:ext cx="154440" cy="1738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8</w:t>
                          </w:r>
                          <w:r>
                            <w:fldChar w:fldCharType="end"/>
                          </w:r>
                        </w:p>
                      </w:txbxContent>
                    </wps:txbx>
                    <wps:bodyPr lIns="0" rIns="0" tIns="0" bIns="0">
                      <a:spAutoFit/>
                    </wps:bodyPr>
                  </wps:wsp>
                </a:graphicData>
              </a:graphic>
            </wp:anchor>
          </w:drawing>
        </mc:Choice>
        <mc:Fallback>
          <w:pict>
            <v:rect id="shape_0" ID="Frame1" stroked="f" style="position:absolute;margin-left:460.3pt;margin-top:0.05pt;width:12.1pt;height:13.65pt;mso-position-horizontal:right;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8</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Body"/>
      <w:jc w:val="right"/>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27657"/>
    <w:pPr>
      <w:widowControl/>
      <w:bidi w:val="0"/>
      <w:jc w:val="left"/>
    </w:pPr>
    <w:rPr>
      <w:rFonts w:ascii="Times New Roman" w:hAnsi="Times New Roman" w:eastAsia="Arial Unicode MS" w:cs="Times New Roman"/>
      <w:color w:val="00000A"/>
      <w:sz w:val="24"/>
      <w:szCs w:val="24"/>
      <w:lang w:val="en-US" w:eastAsia="en-US" w:bidi="ar-SA"/>
    </w:rPr>
  </w:style>
  <w:style w:type="paragraph" w:styleId="Heading1">
    <w:name w:val="Heading 1"/>
    <w:basedOn w:val="Normal"/>
    <w:next w:val="Normal"/>
    <w:link w:val="Heading1Char"/>
    <w:qFormat/>
    <w:rsid w:val="00e27657"/>
    <w:pPr>
      <w:keepNext/>
      <w:spacing w:before="240" w:after="60"/>
      <w:outlineLvl w:val="0"/>
    </w:pPr>
    <w:rPr>
      <w:rFonts w:eastAsia="Times New Roman"/>
      <w:b/>
      <w:bCs/>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e27657"/>
    <w:rPr>
      <w:rFonts w:ascii="Times New Roman" w:hAnsi="Times New Roman" w:eastAsia="Times New Roman" w:cs="Times New Roman"/>
      <w:b/>
      <w:bCs/>
    </w:rPr>
  </w:style>
  <w:style w:type="character" w:styleId="FooterChar" w:customStyle="1">
    <w:name w:val="Footer Char"/>
    <w:link w:val="Footer"/>
    <w:uiPriority w:val="99"/>
    <w:qFormat/>
    <w:rsid w:val="00e27657"/>
    <w:rPr>
      <w:rFonts w:ascii="Times New Roman" w:hAnsi="Times New Roman" w:eastAsia="Arial Unicode MS" w:cs="Times New Roman"/>
    </w:rPr>
  </w:style>
  <w:style w:type="character" w:styleId="Pagenumber">
    <w:name w:val="page number"/>
    <w:uiPriority w:val="99"/>
    <w:semiHidden/>
    <w:unhideWhenUsed/>
    <w:qFormat/>
    <w:rsid w:val="00e27657"/>
    <w:rPr/>
  </w:style>
  <w:style w:type="character" w:styleId="InternetLink">
    <w:name w:val="Internet Link"/>
    <w:uiPriority w:val="99"/>
    <w:rsid w:val="00e27657"/>
    <w:rPr>
      <w:color w:val="0000FF"/>
      <w:u w:val="single"/>
    </w:rPr>
  </w:style>
  <w:style w:type="character" w:styleId="Linenumber">
    <w:name w:val="line number"/>
    <w:uiPriority w:val="99"/>
    <w:semiHidden/>
    <w:unhideWhenUsed/>
    <w:qFormat/>
    <w:rsid w:val="00e27657"/>
    <w:rPr/>
  </w:style>
  <w:style w:type="character" w:styleId="BalloonTextChar" w:customStyle="1">
    <w:name w:val="Balloon Text Char"/>
    <w:basedOn w:val="DefaultParagraphFont"/>
    <w:link w:val="BalloonText"/>
    <w:uiPriority w:val="99"/>
    <w:semiHidden/>
    <w:qFormat/>
    <w:rsid w:val="00a61ae5"/>
    <w:rPr>
      <w:rFonts w:ascii="Times New Roman" w:hAnsi="Times New Roman" w:eastAsia="Arial Unicode MS"/>
      <w:sz w:val="18"/>
      <w:szCs w:val="18"/>
    </w:rPr>
  </w:style>
  <w:style w:type="character" w:styleId="Appleconvertedspace" w:customStyle="1">
    <w:name w:val="apple-converted-space"/>
    <w:basedOn w:val="DefaultParagraphFont"/>
    <w:qFormat/>
    <w:rsid w:val="008c644e"/>
    <w:rPr/>
  </w:style>
  <w:style w:type="character" w:styleId="PlaceholderText">
    <w:name w:val="Placeholder Text"/>
    <w:basedOn w:val="DefaultParagraphFont"/>
    <w:uiPriority w:val="99"/>
    <w:semiHidden/>
    <w:qFormat/>
    <w:rsid w:val="001c6bbe"/>
    <w:rPr>
      <w:color w:val="808080"/>
    </w:rPr>
  </w:style>
  <w:style w:type="character" w:styleId="Annotationreference">
    <w:name w:val="annotation reference"/>
    <w:basedOn w:val="DefaultParagraphFont"/>
    <w:uiPriority w:val="99"/>
    <w:semiHidden/>
    <w:unhideWhenUsed/>
    <w:qFormat/>
    <w:rsid w:val="008428e9"/>
    <w:rPr>
      <w:sz w:val="16"/>
      <w:szCs w:val="16"/>
    </w:rPr>
  </w:style>
  <w:style w:type="character" w:styleId="CommentTextChar" w:customStyle="1">
    <w:name w:val="Comment Text Char"/>
    <w:basedOn w:val="DefaultParagraphFont"/>
    <w:link w:val="CommentText"/>
    <w:uiPriority w:val="99"/>
    <w:semiHidden/>
    <w:qFormat/>
    <w:rsid w:val="008428e9"/>
    <w:rPr>
      <w:rFonts w:ascii="Times New Roman" w:hAnsi="Times New Roman" w:eastAsia="Arial Unicode MS"/>
    </w:rPr>
  </w:style>
  <w:style w:type="character" w:styleId="CommentSubjectChar" w:customStyle="1">
    <w:name w:val="Comment Subject Char"/>
    <w:basedOn w:val="CommentTextChar"/>
    <w:link w:val="CommentSubject"/>
    <w:uiPriority w:val="99"/>
    <w:semiHidden/>
    <w:qFormat/>
    <w:rsid w:val="008428e9"/>
    <w:rPr>
      <w:rFonts w:ascii="Times New Roman" w:hAnsi="Times New Roman" w:eastAsia="Arial Unicode MS"/>
      <w:b/>
      <w:bCs/>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ody" w:customStyle="1">
    <w:name w:val="Body"/>
    <w:qFormat/>
    <w:rsid w:val="00e27657"/>
    <w:pPr>
      <w:widowControl/>
      <w:bidi w:val="0"/>
      <w:jc w:val="left"/>
    </w:pPr>
    <w:rPr>
      <w:rFonts w:ascii="Times New Roman" w:hAnsi="Times New Roman" w:eastAsia="Arial Unicode MS" w:cs="Arial Unicode MS"/>
      <w:color w:val="000000"/>
      <w:sz w:val="24"/>
      <w:szCs w:val="24"/>
      <w:u w:val="none" w:color="000000"/>
      <w:lang w:val="en-US" w:eastAsia="en-US" w:bidi="ar-SA"/>
    </w:rPr>
  </w:style>
  <w:style w:type="paragraph" w:styleId="NormalWeb">
    <w:name w:val="Normal (Web)"/>
    <w:uiPriority w:val="99"/>
    <w:qFormat/>
    <w:rsid w:val="00e27657"/>
    <w:pPr>
      <w:widowControl/>
      <w:bidi w:val="0"/>
      <w:spacing w:before="100" w:after="100"/>
      <w:jc w:val="left"/>
    </w:pPr>
    <w:rPr>
      <w:rFonts w:ascii="Times" w:hAnsi="Times" w:eastAsia="Arial Unicode MS" w:cs="Arial Unicode MS"/>
      <w:color w:val="000000"/>
      <w:sz w:val="24"/>
      <w:szCs w:val="20"/>
      <w:u w:val="none" w:color="000000"/>
      <w:lang w:val="en-US" w:eastAsia="en-US" w:bidi="ar-SA"/>
    </w:rPr>
  </w:style>
  <w:style w:type="paragraph" w:styleId="Footer">
    <w:name w:val="Footer"/>
    <w:basedOn w:val="Normal"/>
    <w:link w:val="FooterChar"/>
    <w:uiPriority w:val="99"/>
    <w:unhideWhenUsed/>
    <w:rsid w:val="00e27657"/>
    <w:pPr>
      <w:suppressLineNumbers/>
      <w:tabs>
        <w:tab w:val="center" w:pos="4680" w:leader="none"/>
        <w:tab w:val="right" w:pos="9360" w:leader="none"/>
      </w:tabs>
    </w:pPr>
    <w:rPr/>
  </w:style>
  <w:style w:type="paragraph" w:styleId="Paragraph" w:customStyle="1">
    <w:name w:val="Paragraph"/>
    <w:basedOn w:val="Normal"/>
    <w:qFormat/>
    <w:rsid w:val="00e27657"/>
    <w:pPr>
      <w:spacing w:before="120" w:after="0"/>
      <w:ind w:firstLine="720"/>
    </w:pPr>
    <w:rPr>
      <w:rFonts w:eastAsia="Times New Roman"/>
    </w:rPr>
  </w:style>
  <w:style w:type="paragraph" w:styleId="BalloonText">
    <w:name w:val="Balloon Text"/>
    <w:basedOn w:val="Normal"/>
    <w:link w:val="BalloonTextChar"/>
    <w:uiPriority w:val="99"/>
    <w:semiHidden/>
    <w:unhideWhenUsed/>
    <w:qFormat/>
    <w:rsid w:val="00a61ae5"/>
    <w:pPr/>
    <w:rPr>
      <w:sz w:val="18"/>
      <w:szCs w:val="18"/>
    </w:rPr>
  </w:style>
  <w:style w:type="paragraph" w:styleId="P1" w:customStyle="1">
    <w:name w:val="p1"/>
    <w:basedOn w:val="Normal"/>
    <w:qFormat/>
    <w:rsid w:val="008c0cd3"/>
    <w:pPr/>
    <w:rPr>
      <w:rFonts w:ascii="Helvetica Neue" w:hAnsi="Helvetica Neue" w:eastAsia="Calibri"/>
      <w:color w:val="000000"/>
      <w:sz w:val="18"/>
      <w:szCs w:val="18"/>
    </w:rPr>
  </w:style>
  <w:style w:type="paragraph" w:styleId="Revision">
    <w:name w:val="Revision"/>
    <w:uiPriority w:val="99"/>
    <w:semiHidden/>
    <w:qFormat/>
    <w:rsid w:val="0079542c"/>
    <w:pPr>
      <w:widowControl/>
      <w:bidi w:val="0"/>
      <w:jc w:val="left"/>
    </w:pPr>
    <w:rPr>
      <w:rFonts w:ascii="Times New Roman" w:hAnsi="Times New Roman" w:eastAsia="Arial Unicode MS" w:cs="Times New Roman"/>
      <w:color w:val="00000A"/>
      <w:sz w:val="24"/>
      <w:szCs w:val="24"/>
      <w:lang w:val="en-US" w:eastAsia="en-US" w:bidi="ar-SA"/>
    </w:rPr>
  </w:style>
  <w:style w:type="paragraph" w:styleId="Annotationtext">
    <w:name w:val="annotation text"/>
    <w:basedOn w:val="Normal"/>
    <w:link w:val="CommentTextChar"/>
    <w:uiPriority w:val="99"/>
    <w:semiHidden/>
    <w:unhideWhenUsed/>
    <w:qFormat/>
    <w:rsid w:val="008428e9"/>
    <w:pPr/>
    <w:rPr>
      <w:sz w:val="20"/>
      <w:szCs w:val="20"/>
    </w:rPr>
  </w:style>
  <w:style w:type="paragraph" w:styleId="Annotationsubject">
    <w:name w:val="annotation subject"/>
    <w:basedOn w:val="Annotationtext"/>
    <w:link w:val="CommentSubjectChar"/>
    <w:uiPriority w:val="99"/>
    <w:semiHidden/>
    <w:unhideWhenUsed/>
    <w:qFormat/>
    <w:rsid w:val="008428e9"/>
    <w:pPr/>
    <w:rPr>
      <w:b/>
      <w:bCs/>
    </w:rPr>
  </w:style>
  <w:style w:type="paragraph" w:styleId="Header">
    <w:name w:val="Header"/>
    <w:basedOn w:val="Normal"/>
    <w:pPr>
      <w:suppressLineNumbers/>
    </w:pPr>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bever@ku.edu" TargetMode="External"/><Relationship Id="rId3" Type="http://schemas.openxmlformats.org/officeDocument/2006/relationships/image" Target="media/image1.e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B1A14D8-0ED0-45D9-8619-4F224DEA5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Application>LibreOffice/5.1.6.2$Linux_X86_64 LibreOffice_project/10m0$Build-2</Application>
  <Pages>8</Pages>
  <Words>591</Words>
  <Characters>3474</Characters>
  <CharactersWithSpaces>4227</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2018-01-30T20:34:00Z</dcterms:created>
  <dc:creator>Natalie Christian</dc:creator>
  <dc:description/>
  <dc:language>en-US</dc:language>
  <cp:lastModifiedBy/>
  <cp:lastPrinted>2018-01-27T19:03:00Z</cp:lastPrinted>
  <dcterms:modified xsi:type="dcterms:W3CDTF">2018-11-09T16:27:25Z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http://www.zotero.org/styles/functional-ecology</vt:lpwstr>
  </property>
  <property fmtid="{D5CDD505-2E9C-101B-9397-08002B2CF9AE}" pid="7" name="Mendeley Document_1">
    <vt:lpwstr>True</vt:lpwstr>
  </property>
  <property fmtid="{D5CDD505-2E9C-101B-9397-08002B2CF9AE}" pid="8" name="Mendeley Recent Style Id 0_1">
    <vt:lpwstr>http://www.zotero.org/styles/apa-no-doi-no-issue</vt:lpwstr>
  </property>
  <property fmtid="{D5CDD505-2E9C-101B-9397-08002B2CF9AE}" pid="9" name="Mendeley Recent Style Id 1_1">
    <vt:lpwstr>http://www.zotero.org/styles/functional-ecology</vt:lpwstr>
  </property>
  <property fmtid="{D5CDD505-2E9C-101B-9397-08002B2CF9AE}" pid="10" name="Mendeley Recent Style Id 2_1">
    <vt:lpwstr>http://www.zotero.org/styles/ieee</vt:lpwstr>
  </property>
  <property fmtid="{D5CDD505-2E9C-101B-9397-08002B2CF9AE}" pid="11" name="Mendeley Recent Style Id 3_1">
    <vt:lpwstr>http://www.zotero.org/styles/journal-of-microbiology-and-biology-education</vt:lpwstr>
  </property>
  <property fmtid="{D5CDD505-2E9C-101B-9397-08002B2CF9AE}" pid="12" name="Mendeley Recent Style Id 4_1">
    <vt:lpwstr>http://www.zotero.org/styles/national-science-foundation-grant-proposals</vt:lpwstr>
  </property>
  <property fmtid="{D5CDD505-2E9C-101B-9397-08002B2CF9AE}" pid="13" name="Mendeley Recent Style Id 5_1">
    <vt:lpwstr>http://www.zotero.org/styles/new-phytologist</vt:lpwstr>
  </property>
  <property fmtid="{D5CDD505-2E9C-101B-9397-08002B2CF9AE}" pid="14" name="Mendeley Recent Style Id 6_1">
    <vt:lpwstr>http://www.zotero.org/styles/pnas</vt:lpwstr>
  </property>
  <property fmtid="{D5CDD505-2E9C-101B-9397-08002B2CF9AE}" pid="15" name="Mendeley Recent Style Id 7_1">
    <vt:lpwstr>http://www.zotero.org/styles/proceedings-of-the-royal-society-b</vt:lpwstr>
  </property>
  <property fmtid="{D5CDD505-2E9C-101B-9397-08002B2CF9AE}" pid="16" name="Mendeley Recent Style Id 8_1">
    <vt:lpwstr>http://www.zotero.org/styles/taylor-and-francis-chicago-author-date</vt:lpwstr>
  </property>
  <property fmtid="{D5CDD505-2E9C-101B-9397-08002B2CF9AE}" pid="17" name="Mendeley Recent Style Id 9_1">
    <vt:lpwstr>http://www.zotero.org/styles/mbio</vt:lpwstr>
  </property>
  <property fmtid="{D5CDD505-2E9C-101B-9397-08002B2CF9AE}" pid="18" name="Mendeley Recent Style Name 0_1">
    <vt:lpwstr>American Psychological Association 6th edition (no DOIs, no issue numbers)</vt:lpwstr>
  </property>
  <property fmtid="{D5CDD505-2E9C-101B-9397-08002B2CF9AE}" pid="19" name="Mendeley Recent Style Name 1_1">
    <vt:lpwstr>Functional Ecology</vt:lpwstr>
  </property>
  <property fmtid="{D5CDD505-2E9C-101B-9397-08002B2CF9AE}" pid="20" name="Mendeley Recent Style Name 2_1">
    <vt:lpwstr>IEEE</vt:lpwstr>
  </property>
  <property fmtid="{D5CDD505-2E9C-101B-9397-08002B2CF9AE}" pid="21" name="Mendeley Recent Style Name 3_1">
    <vt:lpwstr>Journal of Microbiology &amp; Biology Education</vt:lpwstr>
  </property>
  <property fmtid="{D5CDD505-2E9C-101B-9397-08002B2CF9AE}" pid="22" name="Mendeley Recent Style Name 4_1">
    <vt:lpwstr>National Science Foundation (grant proposals)</vt:lpwstr>
  </property>
  <property fmtid="{D5CDD505-2E9C-101B-9397-08002B2CF9AE}" pid="23" name="Mendeley Recent Style Name 5_1">
    <vt:lpwstr>New Phytologist</vt:lpwstr>
  </property>
  <property fmtid="{D5CDD505-2E9C-101B-9397-08002B2CF9AE}" pid="24" name="Mendeley Recent Style Name 6_1">
    <vt:lpwstr>Proceedings of the National Academy of Sciences of the United States of America</vt:lpwstr>
  </property>
  <property fmtid="{D5CDD505-2E9C-101B-9397-08002B2CF9AE}" pid="25" name="Mendeley Recent Style Name 7_1">
    <vt:lpwstr>Proceedings of the Royal Society B</vt:lpwstr>
  </property>
  <property fmtid="{D5CDD505-2E9C-101B-9397-08002B2CF9AE}" pid="26" name="Mendeley Recent Style Name 8_1">
    <vt:lpwstr>Taylor &amp; Francis - Chicago Manual of Style (author-date)</vt:lpwstr>
  </property>
  <property fmtid="{D5CDD505-2E9C-101B-9397-08002B2CF9AE}" pid="27" name="Mendeley Recent Style Name 9_1">
    <vt:lpwstr>mBio</vt:lpwstr>
  </property>
  <property fmtid="{D5CDD505-2E9C-101B-9397-08002B2CF9AE}" pid="28" name="Mendeley Unique User Id_1">
    <vt:lpwstr>2da9d06d-9b1a-3efe-9276-9d74d25701ce</vt:lpwstr>
  </property>
  <property fmtid="{D5CDD505-2E9C-101B-9397-08002B2CF9AE}" pid="29" name="ScaleCrop">
    <vt:bool>0</vt:bool>
  </property>
  <property fmtid="{D5CDD505-2E9C-101B-9397-08002B2CF9AE}" pid="30" name="ShareDoc">
    <vt:bool>0</vt:bool>
  </property>
</Properties>
</file>