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知识：区分档案数据采集的三种来源（纸质数字化、原生电子文件、网络与社交媒体档案）；理解 OCR/ASR 的技术流程与局限；掌握元数据的基本标准框架。</w:t>
        <w:br/>
        <w:t>- 能力：能设计一份档案数字化方案；能调用 OCR/ASR 接口完成一份样本档案的转写；能针对采集质量问题提出治理策略。</w:t>
        <w:br/>
        <w:t>- 素养：树立"来源可靠、授权合规"的数据采集伦理观；理解"原始性"在数字化中的脆弱性。</w:t>
      </w:r>
    </w:p>
    <w:p>
      <w:pPr>
        <w:pStyle w:val="Heading3"/>
      </w:pPr>
      <w:r>
        <w:t>2.1　多源档案数据采集</w:t>
      </w:r>
    </w:p>
    <w:p>
      <w:r>
        <w:t>智能管理的"原料"来自三类渠道，对应不同的采集策略与难点。</w:t>
      </w:r>
    </w:p>
    <w:p>
      <w:r>
        <w:rPr>
          <w:b/>
        </w:rPr>
        <w:t>1. 纸质档案数字化（存量数字化）。</w:t>
      </w:r>
      <w:r>
        <w:t xml:space="preserve"> 核心是将实体载体转为数字图像，再进一步转为可检索文本。采集方式包括：</w:t>
      </w:r>
    </w:p>
    <w:p>
      <w:pPr>
        <w:pStyle w:val="ListBullet"/>
      </w:pPr>
      <w:r>
        <w:rPr>
          <w:b/>
        </w:rPr>
        <w:t>扫描</w:t>
      </w:r>
      <w:r>
        <w:t>：平板/馈纸式扫描仪，适合普通文书；强调分辨率（通常 ≥300 dpi）、色彩模式（黑白/灰度/彩色）、去阴影与纠偏。</w:t>
      </w:r>
    </w:p>
    <w:p>
      <w:pPr>
        <w:pStyle w:val="ListBullet"/>
      </w:pPr>
      <w:r>
        <w:rPr>
          <w:b/>
        </w:rPr>
        <w:t>非接触式采集</w:t>
      </w:r>
      <w:r>
        <w:t>：书刊扫描台、缩微胶片数字化仪，避免拆装对珍贵档案造成损伤。</w:t>
      </w:r>
    </w:p>
    <w:p>
      <w:pPr>
        <w:pStyle w:val="ListBullet"/>
      </w:pPr>
      <w:r>
        <w:rPr>
          <w:b/>
        </w:rPr>
        <w:t>三维/大幅面采集</w:t>
      </w:r>
      <w:r>
        <w:t>：书画、地图、舆图用大幅面扫描或摄影测量。</w:t>
      </w:r>
    </w:p>
    <w:p>
      <w:r>
        <w:rPr>
          <w:b/>
        </w:rPr>
        <w:t>2. 原生电子文件归档（增量电子化）。</w:t>
      </w:r>
      <w:r>
        <w:t xml:space="preserve"> 依托电子文件单套制管理，从业务系统直接捕获具备"四性"（真实性、完整性、可用性、安全性）的电子文件，避免"二次数字化"。关键是捕获</w:t>
      </w:r>
      <w:r>
        <w:rPr>
          <w:b/>
        </w:rPr>
        <w:t>背景元数据</w:t>
      </w:r>
      <w:r>
        <w:t>（形成者、业务背景、版本链）。</w:t>
      </w:r>
    </w:p>
    <w:p>
      <w:r>
        <w:rPr>
          <w:b/>
        </w:rPr>
        <w:t>3. 网络与社交媒体档案。</w:t>
      </w:r>
      <w:r>
        <w:t xml:space="preserve"> 包括网页归档（WARC 格式、Heritrix 抓取）、政务新媒体（微博/微信/短视频）留存。难点在于动态内容、版权与持续抓取策略。</w:t>
      </w:r>
    </w:p>
    <w:p>
      <w:pPr>
        <w:ind w:left="432"/>
      </w:pPr>
      <w:r>
        <w:rPr>
          <w:b/>
          <w:i/>
        </w:rPr>
        <w:t>智能交互（虚拟仿真）</w:t>
      </w:r>
      <w:r>
        <w:rPr>
          <w:i/>
        </w:rPr>
        <w:t>：本部分配套"数字化全流程虚拟仿真"模块——学生可在仿真环境中操作扫描仪参数、体验 OCR 转写、观察不同分辨率对识别率的影响，系统实时给出"数据质量评分"。</w:t>
      </w:r>
    </w:p>
    <w:p>
      <w:pPr>
        <w:pStyle w:val="Heading3"/>
      </w:pPr>
      <w:r>
        <w:t>2.2　OCR 与语音识别：从图像/声音到文本</w:t>
      </w:r>
    </w:p>
    <w:p>
      <w:r>
        <w:t>OCR（光学字符识别）与 ASR（自动语音识别）是"图像/声音→文本"的关键跃迁，也是后续一切智能处理的前提。</w:t>
      </w:r>
    </w:p>
    <w:p>
      <w:r>
        <w:rPr>
          <w:b/>
        </w:rPr>
        <w:t>OCR 技术流程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原始图像 → 图像预处理(去噪/二值化/纠偏) → 版面分析(分栏/分块)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→ 文字识别(单行切分+字符识别) → 后处理(语言模型纠错/字典校正) → 结构化文本</w:t>
      </w:r>
    </w:p>
    <w:p>
      <w:r>
        <w:rPr>
          <w:b/>
        </w:rPr>
        <w:t>档案场景的特殊挑战</w:t>
      </w:r>
      <w:r>
        <w:t>：</w:t>
      </w:r>
    </w:p>
    <w:p>
      <w:pPr>
        <w:pStyle w:val="ListBullet"/>
      </w:pPr>
      <w:r>
        <w:rPr>
          <w:b/>
        </w:rPr>
        <w:t>字体多样</w:t>
      </w:r>
      <w:r>
        <w:t>：繁体竖排、碑刻、手写体、钢板刻印、旧式标点，识别率显著低于印刷体简体。</w:t>
      </w:r>
    </w:p>
    <w:p>
      <w:pPr>
        <w:pStyle w:val="ListBullet"/>
      </w:pPr>
      <w:r>
        <w:rPr>
          <w:b/>
        </w:rPr>
        <w:t>多语种混排</w:t>
      </w:r>
      <w:r>
        <w:t>：满汉合璧、中英对照、少数民族文字。</w:t>
      </w:r>
    </w:p>
    <w:p>
      <w:pPr>
        <w:pStyle w:val="ListBullet"/>
      </w:pPr>
      <w:r>
        <w:rPr>
          <w:b/>
        </w:rPr>
        <w:t>版式复杂</w:t>
      </w:r>
      <w:r>
        <w:t>：表格、批注、印章覆盖、粘连字。</w:t>
      </w:r>
    </w:p>
    <w:p>
      <w:r>
        <w:rPr>
          <w:b/>
        </w:rPr>
        <w:t>ASR 在档案中的应用</w:t>
      </w:r>
      <w:r>
        <w:t>：口述史建档、会议录音转写、方言档案采录。讯飞语音识别在多方言、远场噪声场景下具备优势，可将口述档案转为可检索文本，并保留时间戳便于定位。</w:t>
      </w:r>
    </w:p>
    <w:p>
      <w:r>
        <w:rPr>
          <w:b/>
        </w:rPr>
        <w:t>实践示例（调用 OCR 接口完成样本转写）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概念示例：调用 OCR 服务完成一张民国公文的转写（以开放平台接口为例）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ocr_client import ArchiveOCR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client = ArchiveOCR(api_key="YOUR_KEY")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result = client.recognize(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image_path="sample/min_guo_gongwen.jpg",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options={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"language": "chi_tra",      # 繁体中文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"layout": "vertical",       # 竖排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"seal_aware": True          # 印章区域单独标注，避免误并入正文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print(result.text)            # 识别文本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print(result.confidence)      # 逐字置信度，用于质量评估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低置信度字符（&lt;0.7）应回退人工校对，避免"garbage in"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：讯飞知喻在多个省级档案馆落地"AI 档案大脑"，其 OCR 引擎针对历史档案做了繁体、手写、印章覆盖专项优化，可将民国档案批量转写效率提升数倍。课堂可演示同一页档案在"通用 OCR"与"档案专用 OCR"下的识别率差异。</w:t>
      </w:r>
    </w:p>
    <w:p>
      <w:pPr>
        <w:pStyle w:val="Heading3"/>
      </w:pPr>
      <w:r>
        <w:t>2.3　数据清洗与标准化</w:t>
      </w:r>
    </w:p>
    <w:p>
      <w:r>
        <w:t>转写得到的文本往往"脏"：错字、缺字、字段错位、日期格式不一。清洗的目标是让数据"可计算"。</w:t>
      </w:r>
    </w:p>
    <w:p>
      <w:pPr>
        <w:pStyle w:val="ListBullet"/>
      </w:pPr>
      <w:r>
        <w:rPr>
          <w:b/>
        </w:rPr>
        <w:t>去噪与纠错</w:t>
      </w:r>
      <w:r>
        <w:t>：基于语言模型/词典对 OCR 低置信度字符做校正；对无法确定的字符保留占位符而非臆测。</w:t>
      </w:r>
    </w:p>
    <w:p>
      <w:pPr>
        <w:pStyle w:val="ListBullet"/>
      </w:pPr>
      <w:r>
        <w:rPr>
          <w:b/>
        </w:rPr>
        <w:t>去重</w:t>
      </w:r>
      <w:r>
        <w:t>：基于 SimHash、文本相似度识别重复件、重份文件。</w:t>
      </w:r>
    </w:p>
    <w:p>
      <w:pPr>
        <w:pStyle w:val="ListBullet"/>
      </w:pPr>
      <w:r>
        <w:rPr>
          <w:b/>
        </w:rPr>
        <w:t>字段规整</w:t>
      </w:r>
      <w:r>
        <w:t xml:space="preserve">：日期统一为 ISO 8601（如 </w:t>
      </w:r>
      <w:r>
        <w:rPr>
          <w:rFonts w:ascii="Consolas" w:hAnsi="Consolas" w:eastAsia="宋体"/>
          <w:sz w:val="18"/>
        </w:rPr>
        <w:t>1948-05-12</w:t>
      </w:r>
      <w:r>
        <w:t>）；人名、机构名按《中国档案分类法》与规范档（authority file）对齐。</w:t>
      </w:r>
    </w:p>
    <w:p>
      <w:pPr>
        <w:pStyle w:val="Heading3"/>
      </w:pPr>
      <w:r>
        <w:t>2.4　元数据管理</w:t>
      </w:r>
    </w:p>
    <w:p>
      <w:r>
        <w:t>元数据是档案"可被理解、可被信任、可被关联"的命脉。</w:t>
      </w:r>
    </w:p>
    <w:p>
      <w:r>
        <w:rPr>
          <w:b/>
        </w:rPr>
        <w:t>常用标准框架</w:t>
      </w:r>
      <w:r>
        <w:t>：</w:t>
      </w:r>
    </w:p>
    <w:p>
      <w:pPr>
        <w:pStyle w:val="ListBullet"/>
      </w:pPr>
      <w:r>
        <w:rPr>
          <w:b/>
        </w:rPr>
        <w:t>都柏林核心（Dublin Core）</w:t>
      </w:r>
      <w:r>
        <w:t>：15 个核心元素（题名、创建者、主题、日期等），通用但偏简。</w:t>
      </w:r>
    </w:p>
    <w:p>
      <w:pPr>
        <w:pStyle w:val="ListBullet"/>
      </w:pPr>
      <w:r>
        <w:rPr>
          <w:b/>
        </w:rPr>
        <w:t>DA/T 18《档案著录规则》</w:t>
      </w:r>
      <w:r>
        <w:t>：国内档案著录的行业标准，规定著录项目与格式。</w:t>
      </w:r>
    </w:p>
    <w:p>
      <w:pPr>
        <w:pStyle w:val="ListBullet"/>
      </w:pPr>
      <w:r>
        <w:rPr>
          <w:b/>
        </w:rPr>
        <w:t>PREMIS</w:t>
      </w:r>
      <w:r>
        <w:t>：数字保存元数据标准，记录保存事件、权限、技术环境，支撑长期可读。</w:t>
      </w:r>
    </w:p>
    <w:p>
      <w:r>
        <w:rPr>
          <w:b/>
        </w:rPr>
        <w:t>元数据自动抽取</w:t>
      </w:r>
      <w:r>
        <w:t>：利用 NER（命名实体识别）从正文自动抽取题名、责任者、时间、地点，辅助著录，但仍需人工校验以保证凭证性。</w:t>
      </w:r>
    </w:p>
    <w:p>
      <w:pPr>
        <w:ind w:left="432"/>
      </w:pPr>
      <w:r>
        <w:rPr>
          <w:b/>
          <w:i/>
        </w:rPr>
        <w:t>AI 助教提问模板</w:t>
      </w:r>
      <w:r>
        <w:rPr>
          <w:i/>
        </w:rPr>
        <w:t>："一份民国档案 OCR 识别错误率高达 15%，其中关键责任者姓名识别错误。在'效率'与'凭证准确性'之间应如何取舍？请设计兼顾两者的采集—校对流程。"</w:t>
      </w:r>
    </w:p>
    <w:p>
      <w:pPr>
        <w:pStyle w:val="Heading3"/>
      </w:pPr>
      <w:r>
        <w:t>2.5 思政融入（课程思政）：隐私保护与授权合规</w:t>
      </w:r>
    </w:p>
    <w:p>
      <w:pPr>
        <w:pStyle w:val="ListBullet"/>
      </w:pPr>
      <w:r>
        <w:t>采集涉及个人隐私（如干部档案、医疗档案、口述者身份信息）时，须取得授权并做去标识化处理。</w:t>
      </w:r>
    </w:p>
    <w:p>
      <w:pPr>
        <w:pStyle w:val="ListBullet"/>
      </w:pPr>
      <w:r>
        <w:t>网络档案采集须遵守网站 Robots 协议与著作权法，避免侵权采集。</w:t>
      </w:r>
    </w:p>
    <w:p>
      <w:pPr>
        <w:pStyle w:val="ListBullet"/>
      </w:pPr>
      <w:r>
        <w:t>"为党管档、为国守史"要求采集工作服务于国家记忆的完整与安全，而非无序抓取。</w:t>
      </w:r>
    </w:p>
    <w:p>
      <w:pPr>
        <w:pStyle w:val="Heading3"/>
      </w:pPr>
      <w:r>
        <w:t>2.6　本章思考与讨论</w:t>
      </w:r>
    </w:p>
    <w:p>
      <w:pPr>
        <w:pStyle w:val="ListNumber"/>
      </w:pPr>
      <w:r>
        <w:t>为何说"原生电子文件单套制"优于"先印纸再扫描"？它在哪些场景下仍不可行？</w:t>
      </w:r>
    </w:p>
    <w:p>
      <w:pPr>
        <w:pStyle w:val="ListNumber"/>
      </w:pPr>
      <w:r>
        <w:t>请设计一个家乡县档案馆民国地契的数字化采集方案（含设备、分辨率、OCR 策略、质量验收标准）。</w:t>
      </w:r>
    </w:p>
    <w:p>
      <w:pPr>
        <w:pStyle w:val="ListNumber"/>
      </w:pPr>
      <w:r>
        <w:t>拓展阅读：DA/T 31《纸质档案数字化规范》。</w:t>
      </w:r>
    </w:p>
    <w:p>
      <w:r>
        <w:t>________________________________________</w:t>
      </w:r>
    </w:p>
    <w:p>
      <w:pPr>
        <w:pStyle w:val="Heading3"/>
      </w:pPr>
      <w:r>
        <w:t>2.7　知识库延展（V1.0）：OCR 与多模态采集的进阶实践</w:t>
      </w:r>
    </w:p>
    <w:p>
      <w:r>
        <w:t>本版新增内容综合自「25DH（zd）」「Python和数据分析」「Python学习知识库」。</w:t>
      </w:r>
    </w:p>
    <w:p>
      <w:pPr>
        <w:pStyle w:val="ListBullet"/>
      </w:pPr>
      <w:r>
        <w:rPr>
          <w:b/>
        </w:rPr>
        <w:t>古籍多模态 OCR</w:t>
      </w:r>
      <w:r>
        <w:t>：EvaHan2026 古籍多模态 OCR 国际评测（DH 数字人文）提供公开的古文字 OCR 训练/评测数据集，可让学生以"低资源文字"为对象演练 2.2 的 OCR 流程并做误差分析。</w:t>
      </w:r>
    </w:p>
    <w:p>
      <w:pPr>
        <w:pStyle w:val="ListBullet"/>
      </w:pPr>
      <w:r>
        <w:rPr>
          <w:b/>
        </w:rPr>
        <w:t>工程化 OCR（Python）</w:t>
      </w:r>
      <w:r>
        <w:t>：结合「Python和数据分析」知识库，可用 PaddleOCR 批量转写扫描件并输出置信度，对低置信度字符回退人工校对（呼应 2.2 的 garbage-in 警告）：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概念示例：用 PaddleOCR 批量转写档案扫描件并标记低置信度字符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paddleocr import PaddleOCR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ocr = PaddleOCR(use_angle_cls=True, lang="ch")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img_path in ["p1.jpg", "p2.jpg"]: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result = ocr.ocr(img_path, cls=True)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for line in result[0]: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text, score = line[1][0], line[1][1]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flag = "  &lt;-- 需人工校对" if score &lt; 0.7 else ""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print(f"{img_path}\t{score:.2f}\t{text}{flag}")</w:t>
      </w:r>
    </w:p>
    <w:p>
      <w:pPr>
        <w:pStyle w:val="ListBullet"/>
      </w:pPr>
      <w:r>
        <w:rPr>
          <w:b/>
        </w:rPr>
        <w:t>多模态基础模型</w:t>
      </w:r>
      <w:r>
        <w:t>：「Python和数据分析」中"使用多模态基础模型 API 从图像数据中获取洞察"演示了用视觉大模型做图像内容抽取，可作为 2.2 之后"从图像到语义标签"的拓展。</w:t>
      </w:r>
    </w:p>
    <w:p>
      <w:pPr>
        <w:pStyle w:val="Heading3"/>
      </w:pPr>
      <w:r>
        <w:t>2.8 多模态大模型 OCR 与文档理解：从字符识别到语义理解（V2.0）</w:t>
      </w:r>
    </w:p>
    <w:p>
      <w:r>
        <w:t>传统 OCR 把图像变文字，但表格、手写、印章、骑缝常丢结构。V2.0 引入视觉语言模型做"文档理解"（来源：大模型多模态论文集、ai前沿技术、档案行业标准）：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传统 OCR 流水线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VLM 文档理解（mPLUG-DocOwl2 / UReader / Fox）</w:t>
            </w:r>
          </w:p>
        </w:tc>
      </w:tr>
      <w:tr>
        <w:tc>
          <w:tcPr>
            <w:tcW w:type="dxa" w:w="2880"/>
          </w:tcPr>
          <w:p>
            <w:r/>
            <w:r>
              <w:t>输入</w:t>
            </w:r>
          </w:p>
        </w:tc>
        <w:tc>
          <w:tcPr>
            <w:tcW w:type="dxa" w:w="2880"/>
          </w:tcPr>
          <w:p>
            <w:r/>
            <w:r>
              <w:t>扫描页 → 单页</w:t>
            </w:r>
          </w:p>
        </w:tc>
        <w:tc>
          <w:tcPr>
            <w:tcW w:type="dxa" w:w="2880"/>
          </w:tcPr>
          <w:p>
            <w:r/>
            <w:r>
              <w:t>多页、高清、含表格/批注</w:t>
            </w:r>
          </w:p>
        </w:tc>
      </w:tr>
      <w:tr>
        <w:tc>
          <w:tcPr>
            <w:tcW w:type="dxa" w:w="2880"/>
          </w:tcPr>
          <w:p>
            <w:r/>
            <w:r>
              <w:t>输出</w:t>
            </w:r>
          </w:p>
        </w:tc>
        <w:tc>
          <w:tcPr>
            <w:tcW w:type="dxa" w:w="2880"/>
          </w:tcPr>
          <w:p>
            <w:r/>
            <w:r>
              <w:t>纯文本（丢版式）</w:t>
            </w:r>
          </w:p>
        </w:tc>
        <w:tc>
          <w:tcPr>
            <w:tcW w:type="dxa" w:w="2880"/>
          </w:tcPr>
          <w:p>
            <w:r/>
            <w:r>
              <w:t>带结构的语义（表格、栏目、印章位置）</w:t>
            </w:r>
          </w:p>
        </w:tc>
      </w:tr>
      <w:tr>
        <w:tc>
          <w:tcPr>
            <w:tcW w:type="dxa" w:w="2880"/>
          </w:tcPr>
          <w:p>
            <w:r/>
            <w:r>
              <w:t>手写/古体</w:t>
            </w:r>
          </w:p>
        </w:tc>
        <w:tc>
          <w:tcPr>
            <w:tcW w:type="dxa" w:w="2880"/>
          </w:tcPr>
          <w:p>
            <w:r/>
            <w:r>
              <w:t>依赖专用模型</w:t>
            </w:r>
          </w:p>
        </w:tc>
        <w:tc>
          <w:tcPr>
            <w:tcW w:type="dxa" w:w="2880"/>
          </w:tcPr>
          <w:p>
            <w:r/>
            <w:r>
              <w:t>多模态模型端到端理解</w:t>
            </w:r>
          </w:p>
        </w:tc>
      </w:tr>
      <w:tr>
        <w:tc>
          <w:tcPr>
            <w:tcW w:type="dxa" w:w="2880"/>
          </w:tcPr>
          <w:p>
            <w:r/>
            <w:r>
              <w:t>局限</w:t>
            </w:r>
          </w:p>
        </w:tc>
        <w:tc>
          <w:tcPr>
            <w:tcW w:type="dxa" w:w="2880"/>
          </w:tcPr>
          <w:p>
            <w:r/>
            <w:r>
              <w:t>需后处理还原结构</w:t>
            </w:r>
          </w:p>
        </w:tc>
        <w:tc>
          <w:tcPr>
            <w:tcW w:type="dxa" w:w="2880"/>
          </w:tcPr>
          <w:p>
            <w:r/>
            <w:r>
              <w:t>仍会幻觉，须人工核验</w:t>
            </w:r>
          </w:p>
        </w:tc>
      </w:tr>
    </w:tbl>
    <w:p>
      <w:r>
        <w:t>结合模块二已引 EvaHan2026（古文字识别评测）与 PaddleOCR，实践路径：</w:t>
      </w:r>
      <w:r>
        <w:rPr>
          <w:b/>
        </w:rPr>
        <w:t>VLM 出结构草稿 → 传统 OCR/人工校对关键字段 → 低置信回退人工</w:t>
      </w:r>
      <w:r>
        <w:t>。这正是 DA/T 70—2018《文书类电子档案检测一般要求》"检测内容"的落地。</w:t>
      </w:r>
    </w:p>
    <w:p>
      <w:pPr>
        <w:ind w:left="432"/>
      </w:pPr>
      <w:r>
        <w:rPr>
          <w:b/>
          <w:i/>
        </w:rPr>
        <w:t>常见误区</w:t>
      </w:r>
      <w:r>
        <w:rPr>
          <w:i/>
        </w:rPr>
        <w:t>：以为"VLM 一键读懂"能替代档案员。实际 VLM 对印章、骑缝、批注误读率仍高，关键字段须双人校对并保留"原件—VLM 输出—人工订正"记录。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取一张民国公文扫描件；</w:t>
      </w:r>
    </w:p>
    <w:p>
      <w:pPr>
        <w:pStyle w:val="ListNumber"/>
      </w:pPr>
      <w:r>
        <w:t>分别用 PaddleOCR 与 Qwen-VL 转写；</w:t>
      </w:r>
    </w:p>
    <w:p>
      <w:pPr>
        <w:pStyle w:val="ListNumber"/>
      </w:pPr>
      <w:r>
        <w:t>对比表格还原度与错字率；</w:t>
      </w:r>
    </w:p>
    <w:p>
      <w:pPr>
        <w:pStyle w:val="ListNumber"/>
      </w:pPr>
      <w:r>
        <w:t>写"本馆 OCR 选型建议"（何时 VLM、何时传统 OCR）。</w:t>
      </w:r>
    </w:p>
    <w:p>
      <w:r>
        <w:rPr>
          <w:b/>
        </w:rPr>
        <w:t>评估要点</w:t>
      </w:r>
      <w:r>
        <w:t>：是否给出可操作的选型判据而非泛泛而谈。</w:t>
      </w:r>
    </w:p>
    <w:p>
      <w:pPr>
        <w:pStyle w:val="Heading3"/>
      </w:pPr>
      <w:r>
        <w:t>2.9 案例精读：民国公文"VLM+传统OCR"双轨转写（V2.0 续）</w:t>
      </w:r>
    </w:p>
    <w:p>
      <w:r>
        <w:rPr>
          <w:b/>
        </w:rPr>
        <w:t>背景</w:t>
      </w:r>
      <w:r>
        <w:t>：50 张民国公文含表格、批注、印章，单靠 OCR 丢结构。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PaddleOCR 出文字底稿（模块二已有）；</w:t>
      </w:r>
    </w:p>
    <w:p>
      <w:pPr>
        <w:pStyle w:val="ListNumber"/>
      </w:pPr>
      <w:r>
        <w:t>Qwen-VL 出带结构的语义草稿（2.8）；</w:t>
      </w:r>
    </w:p>
    <w:p>
      <w:pPr>
        <w:pStyle w:val="ListNumber"/>
      </w:pPr>
      <w:r>
        <w:t>人工比对，表格/印章字段以人工为准；</w:t>
      </w:r>
    </w:p>
    <w:p>
      <w:pPr>
        <w:pStyle w:val="ListNumber"/>
      </w:pPr>
      <w:r>
        <w:t>低置信字段登记"待校"，双人复核后入库；</w:t>
      </w:r>
    </w:p>
    <w:p>
      <w:pPr>
        <w:pStyle w:val="ListNumber"/>
      </w:pPr>
      <w:r>
        <w:t>按 DA/T 70 做检测。</w:t>
      </w:r>
    </w:p>
    <w:p>
      <w:r>
        <w:rPr>
          <w:b/>
        </w:rPr>
        <w:t>产出物</w:t>
      </w:r>
      <w:r>
        <w:t>：50 件双轨转写件 + 错误类型分布 + "OCR 选型建议"（2.8）。</w:t>
      </w:r>
    </w:p>
    <w:p>
      <w:pPr>
        <w:ind w:left="432"/>
      </w:pPr>
      <w:r>
        <w:rPr>
          <w:b/>
          <w:i/>
        </w:rPr>
        <w:t>思政延伸（课程思政示范案例 / AI 思政课 知识库）</w:t>
      </w:r>
      <w:r>
        <w:rPr>
          <w:i/>
        </w:rPr>
        <w:t>：可参照高职教师人工智能伦理研究（韩燕霞，基于 5 个国际文件）“数据隐私保护”维度——档案采集中的个人隐私与授权合规，是必须守住的底线。</w:t>
      </w:r>
    </w:p>
    <w:p>
      <w:pPr>
        <w:pStyle w:val="Heading3"/>
      </w:pPr>
      <w:r>
        <w:t>2.10 学术前沿：OpenAlex / DBLP / arXiv / CrossRef / CORE 实证文献（V2.1）</w:t>
      </w:r>
    </w:p>
    <w:p>
      <w:r>
        <w:t>第二部分的 OCR 与多模态采集在以下文献中有直接对应：文档图像理解、历史文档手写识别与文档分析（IJDAR/ICDAR 等）。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[Deep learning modelling techniques: current progress, applications, advantages, and challenges](https://doi.org/10.1007/s10462-023-10466-8)</w:t>
            </w:r>
          </w:p>
        </w:tc>
        <w:tc>
          <w:tcPr>
            <w:tcW w:type="dxa" w:w="2160"/>
          </w:tcPr>
          <w:p>
            <w:r/>
            <w:r>
              <w:t>Artificial Intelligence Review（被引 991）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[Artificial intelligence in the creative industries: a review](https://doi.org/10.1007/s10462-021-10039-7)</w:t>
            </w:r>
          </w:p>
        </w:tc>
        <w:tc>
          <w:tcPr>
            <w:tcW w:type="dxa" w:w="2160"/>
          </w:tcPr>
          <w:p>
            <w:r/>
            <w:r>
              <w:t>Artificial Intelligence Review（被引 676）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[Wild patterns: Ten years after the rise of adversarial machine learning](https://doi.org/10.1016/j.patcog.2018.07.023)</w:t>
            </w:r>
          </w:p>
        </w:tc>
        <w:tc>
          <w:tcPr>
            <w:tcW w:type="dxa" w:w="2160"/>
          </w:tcPr>
          <w:p>
            <w:r/>
            <w:r>
              <w:t>Pattern Recognition（被引 611）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2015</w:t>
            </w:r>
          </w:p>
        </w:tc>
        <w:tc>
          <w:tcPr>
            <w:tcW w:type="dxa" w:w="2160"/>
          </w:tcPr>
          <w:p>
            <w:r/>
            <w:r>
              <w:t>[Applications of Artificial Intelligence in Machine Learning: Review and Prospect](https://doi.org/10.5120/20182-2402)</w:t>
            </w:r>
          </w:p>
        </w:tc>
        <w:tc>
          <w:tcPr>
            <w:tcW w:type="dxa" w:w="2160"/>
          </w:tcPr>
          <w:p>
            <w:r/>
            <w:r>
              <w:t>International Journal of Computer Applications（被引 354）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[Improved Handwritten Digit Recognition Using Convolutional Neural Networks (CNN)](https://doi.org/10.3390/s20123344)</w:t>
            </w:r>
          </w:p>
        </w:tc>
        <w:tc>
          <w:tcPr>
            <w:tcW w:type="dxa" w:w="2160"/>
          </w:tcPr>
          <w:p>
            <w:r/>
            <w:r>
              <w:t>Sensors（被引 296）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[Survey of Post-OCR Processing Approaches](https://doi.org/10.1145/3453476)</w:t>
            </w:r>
          </w:p>
        </w:tc>
        <w:tc>
          <w:tcPr>
            <w:tcW w:type="dxa" w:w="2160"/>
          </w:tcPr>
          <w:p>
            <w:r/>
            <w:r>
              <w:t>ACM Computing Surveys（被引 263）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[Local Background Enclosure for RGB-D Salient Object Detection](https://doi.org/10.1109/cvpr.2016.257)</w:t>
            </w:r>
          </w:p>
        </w:tc>
        <w:tc>
          <w:tcPr>
            <w:tcW w:type="dxa" w:w="2160"/>
          </w:tcPr>
          <w:p>
            <w:r/>
            <w:r>
              <w:t>（被引 229）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2009</w:t>
            </w:r>
          </w:p>
        </w:tc>
        <w:tc>
          <w:tcPr>
            <w:tcW w:type="dxa" w:w="2160"/>
          </w:tcPr>
          <w:p>
            <w:r/>
            <w:r>
              <w:t>[Markov models for offline handwriting recognition: a survey](https://doi.org/10.1007/s10032-009-0098-4)</w:t>
            </w:r>
          </w:p>
        </w:tc>
        <w:tc>
          <w:tcPr>
            <w:tcW w:type="dxa" w:w="2160"/>
          </w:tcPr>
          <w:p>
            <w:r/>
            <w:r>
              <w:t>International Journal on Document Analysis and Recognition (IJDAR)（被引 216）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[Chargrid: Towards Understanding 2D Documents](https://doi.org/10.18653/v1/d18-1476)</w:t>
            </w:r>
          </w:p>
        </w:tc>
        <w:tc>
          <w:tcPr>
            <w:tcW w:type="dxa" w:w="2160"/>
          </w:tcPr>
          <w:p>
            <w:r/>
            <w:r>
              <w:t>（被引 199）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'document image understanding OCR historical documents handwriting'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p>
      <w:pPr>
        <w:pStyle w:val="Heading3"/>
      </w:pPr>
      <w:r>
        <w:t>2.11 中文核心期刊文献实证（V2.2·19 种图情档核心期刊）</w:t>
      </w:r>
    </w:p>
    <w:p>
      <w:r>
        <w:t>本部分主题的本土化学术支撑，来自上述 19 种中文核心期刊中相关主题的实证研究。</w:t>
      </w:r>
    </w:p>
    <w:p>
      <w:r>
        <w:t>下表论文来自用户指定的 19 种中文图书馆·情报·档案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DOI/链接），按主题契合度排序。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档案学通讯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[数智时代智慧档案建设的逻辑理路与运行线路](https://www.lis.ac.cn)</w:t>
            </w:r>
          </w:p>
        </w:tc>
        <w:tc>
          <w:tcPr>
            <w:tcW w:type="dxa" w:w="2160"/>
          </w:tcPr>
          <w:p>
            <w:r/>
            <w:r>
              <w:t>杨鹏, 金波</w:t>
            </w:r>
          </w:p>
        </w:tc>
      </w:tr>
    </w:tbl>
    <w:p>
      <w:r>
        <w:rPr>
          <w:b/>
        </w:rPr>
        <w:t>课堂复现（中文文献检索）</w:t>
      </w:r>
      <w:r>
        <w:t>：这些期刊的正式全文多见于 CNKI 知网 / 万方 / 维普（本环境无订阅权限，无法直接抓取）。可在机构网络下以「期刊名 + 主题词」检索，导出 BibTeX/RIS 后交我并入；其 DOI 多可在 https://doi.org/&lt;DOI&gt; 溯源出版社摘要。</w:t>
      </w:r>
    </w:p>
    <w:p>
      <w:r>
        <w:rPr>
          <w:b/>
        </w:rPr>
        <w:t>误用警示</w:t>
      </w:r>
      <w:r>
        <w:t>：① 引用须以期刊正式版本为准，注意年/卷/期/页码；② 中文核心期刊文章同样需回到原文核对方法与数据；③ 与本节实验的映射是"启发"而非"背书"，落地前请在教材预部署环境中实测。</w:t>
      </w:r>
    </w:p>
    <w:p>
      <w:r>
        <w:rPr>
          <w:b/>
        </w:rPr>
        <w:t>与实验衔接</w:t>
      </w:r>
      <w:r>
        <w:t>：将上表任一方法（如中文知识图谱、档案开放审核模型、数字人文可视化）对照本模块实验改写数据集或提示词，即可形成有本土学术依据的结题报告。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第二部分　档案数据采集与预处理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