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32"/>
      </w:pPr>
      <w:r>
        <w:rPr>
          <w:b/>
          <w:i/>
        </w:rPr>
        <w:t>学习目标</w:t>
      </w:r>
      <w:r>
        <w:rPr>
          <w:i/>
        </w:rPr>
        <w:br/>
        <w:t>- 知识：理解数字档案长期保存的 OAIS 参考模型；掌握载体环境监测与 AI 辅助修复的基本方法。</w:t>
        <w:br/>
        <w:t>- 能力：能设计一份数字档案长期保存策略（格式/迁移/封装）；能描述 AI 图像增强修复的流程与局限。</w:t>
        <w:br/>
        <w:t>- 素养：理解"长期可读"是国家记忆安全的底线；认识 AI 修复"可辅助不可虚构"——修复不得伪造档案内容。</w:t>
      </w:r>
    </w:p>
    <w:p>
      <w:pPr>
        <w:pStyle w:val="Heading3"/>
      </w:pPr>
      <w:r>
        <w:t>5.1　数字档案长期保存策略</w:t>
      </w:r>
    </w:p>
    <w:p>
      <w:r>
        <w:t>数字档案的脆弱性在于</w:t>
      </w:r>
      <w:r>
        <w:rPr>
          <w:b/>
        </w:rPr>
        <w:t>技术过时</w:t>
      </w:r>
      <w:r>
        <w:t xml:space="preserve">：软件不兼容、格式淘汰、载体退化。长期保存的经典框架是 </w:t>
      </w:r>
      <w:r>
        <w:rPr>
          <w:b/>
        </w:rPr>
        <w:t>OAIS（开放档案信息系统）参考模型</w:t>
      </w:r>
      <w:r>
        <w:t>。</w:t>
      </w:r>
    </w:p>
    <w:p>
      <w:r>
        <w:rPr>
          <w:b/>
        </w:rPr>
        <w:t>三大策略</w:t>
      </w:r>
      <w:r>
        <w:t>：</w:t>
      </w:r>
    </w:p>
    <w:p>
      <w:pPr>
        <w:pStyle w:val="ListBullet"/>
      </w:pPr>
      <w:r>
        <w:rPr>
          <w:b/>
        </w:rPr>
        <w:t>格式迁移（Migration）</w:t>
      </w:r>
      <w:r>
        <w:t>：定期把旧格式转为当前标准格式（如 TIFF→PDF/A），可能损失某些特性。</w:t>
      </w:r>
    </w:p>
    <w:p>
      <w:pPr>
        <w:pStyle w:val="ListBullet"/>
      </w:pPr>
      <w:r>
        <w:rPr>
          <w:b/>
        </w:rPr>
        <w:t>仿真（Emulation）</w:t>
      </w:r>
      <w:r>
        <w:t>：保留原运行环境（虚拟机/模拟器），原样运行旧系统读取档案。</w:t>
      </w:r>
    </w:p>
    <w:p>
      <w:pPr>
        <w:pStyle w:val="ListBullet"/>
      </w:pPr>
      <w:r>
        <w:rPr>
          <w:b/>
        </w:rPr>
        <w:t>封装（Packaging）</w:t>
      </w:r>
      <w:r>
        <w:t>：用 METS/PREMIS 把内容、元数据、保存事件打包，确保自描述、自证明。</w:t>
      </w:r>
    </w:p>
    <w:p>
      <w:r>
        <w:rPr>
          <w:b/>
        </w:rPr>
        <w:t>数字连续性</w:t>
      </w:r>
      <w:r>
        <w:t>：从形成到长期保存全程保持真实、完整、可用、可理解，而非"先丢后补"。</w:t>
      </w:r>
    </w:p>
    <w:p>
      <w:pPr>
        <w:pStyle w:val="Heading3"/>
      </w:pPr>
      <w:r>
        <w:t>5.2　载体与环境智能监测</w:t>
      </w:r>
    </w:p>
    <w:p>
      <w:r>
        <w:t>实体档案与数字载体都需环境监测：</w:t>
      </w:r>
    </w:p>
    <w:p>
      <w:pPr>
        <w:pStyle w:val="ListBullet"/>
      </w:pPr>
      <w:r>
        <w:rPr>
          <w:b/>
        </w:rPr>
        <w:t>实体档案库房</w:t>
      </w:r>
      <w:r>
        <w:t>：温湿度、光照、虫害、霉变监测；IoT 传感器实时采集，超限自动预警。</w:t>
      </w:r>
    </w:p>
    <w:p>
      <w:pPr>
        <w:pStyle w:val="ListBullet"/>
      </w:pPr>
      <w:r>
        <w:rPr>
          <w:b/>
        </w:rPr>
        <w:t>数字载体</w:t>
      </w:r>
      <w:r>
        <w:t>：存储介质健康度（SMART）、备份完整性校验、异地多活。</w:t>
      </w:r>
    </w:p>
    <w:p>
      <w:r>
        <w:rPr>
          <w:b/>
        </w:rPr>
        <w:t>智能预警逻辑</w:t>
      </w:r>
      <w:r>
        <w:t>：基于历史数据训练异常检测模型，区分"正常波动"与"真实风险"，减少误报。</w:t>
      </w:r>
    </w:p>
    <w:p>
      <w:pPr>
        <w:pStyle w:val="Heading3"/>
      </w:pPr>
      <w:r>
        <w:t>5.3　AI 辅助修复</w:t>
      </w:r>
    </w:p>
    <w:p>
      <w:r>
        <w:t>AI 修复是"抢救性保护"的利器，但边界清晰——</w:t>
      </w:r>
      <w:r>
        <w:rPr>
          <w:b/>
        </w:rPr>
        <w:t>修复缺损，不虚构内容</w:t>
      </w:r>
      <w:r>
        <w:t>。</w:t>
      </w:r>
    </w:p>
    <w:p>
      <w:pPr>
        <w:pStyle w:val="ListBullet"/>
      </w:pPr>
      <w:r>
        <w:rPr>
          <w:b/>
        </w:rPr>
        <w:t>图像增强与去噪</w:t>
      </w:r>
      <w:r>
        <w:t>：超分辨率、去模糊、去黄，改善可读性。</w:t>
      </w:r>
    </w:p>
    <w:p>
      <w:pPr>
        <w:pStyle w:val="ListBullet"/>
      </w:pPr>
      <w:r>
        <w:rPr>
          <w:b/>
        </w:rPr>
        <w:t>破损检测</w:t>
      </w:r>
      <w:r>
        <w:t>：CV 模型识别撕裂、缺失、水渍区域并标注，供人工补全。</w:t>
      </w:r>
    </w:p>
    <w:p>
      <w:pPr>
        <w:pStyle w:val="ListBullet"/>
      </w:pPr>
      <w:r>
        <w:rPr>
          <w:b/>
        </w:rPr>
        <w:t>文字复原</w:t>
      </w:r>
      <w:r>
        <w:t>：对褪色、遮挡文字，基于上下文与同版本文献推断补全，但</w:t>
      </w:r>
      <w:r>
        <w:rPr>
          <w:b/>
        </w:rPr>
        <w:t>补全部分须明确标注</w:t>
      </w:r>
      <w:r>
        <w:t>，绝不可伪装成原件。</w:t>
      </w:r>
    </w:p>
    <w:p>
      <w:r>
        <w:rPr>
          <w:b/>
        </w:rPr>
        <w:t>实践示例（图像增强的概念流程）</w:t>
      </w:r>
      <w:r>
        <w:t>：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概念示例：用超分辨率模型增强模糊档案图像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from enhance import SuperResolution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sr = SuperResolution(model="real-esrgan")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restored = sr.upscale("sample/faded_scan.png", scale=4)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sr.save(restored, "sample/faded_scan_enhanced.png")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注意：增强仅改善视觉可读性，不能"还原"已丢失信息，标注"AI增强版"</w:t>
      </w:r>
    </w:p>
    <w:p>
      <w:pPr>
        <w:ind w:left="432"/>
      </w:pPr>
      <w:r>
        <w:rPr>
          <w:b/>
          <w:i/>
        </w:rPr>
        <w:t>智能交互（虚拟仿真保管场景）</w:t>
      </w:r>
      <w:r>
        <w:rPr>
          <w:i/>
        </w:rPr>
        <w:t>：学生在仿真库房中扮演保管员，应对"温湿度超标""载体告警""突发水渍"等事件，系统评估其处置是否符合规范；AI 破损检测模块可让学生标注一份破损档案的修复方案。</w:t>
      </w:r>
    </w:p>
    <w:p>
      <w:pPr>
        <w:ind w:left="432"/>
      </w:pPr>
      <w:r>
        <w:rPr>
          <w:b/>
          <w:i/>
        </w:rPr>
        <w:t>讯飞知喻实践（专栏）</w:t>
      </w:r>
      <w:r>
        <w:rPr>
          <w:i/>
        </w:rPr>
        <w:t>：讯飞知喻的 AI 辅助修复能力覆盖图像增强、文字复原、破损检测，已在历史档案抢救中应用。课堂应强调"AI 增强版"与"原件"的可区分性，防止修复结果被误用为凭证。</w:t>
      </w:r>
    </w:p>
    <w:p>
      <w:pPr>
        <w:pStyle w:val="Heading3"/>
      </w:pPr>
      <w:r>
        <w:t>5.4 思政融入（课程思政）：修复的伦理红线</w:t>
      </w:r>
    </w:p>
    <w:p>
      <w:pPr>
        <w:pStyle w:val="ListBullet"/>
      </w:pPr>
      <w:r>
        <w:t>档案修复遵循"最小干预、可逆、可识别"原则；AI 补全内容必须显著标注，不得混入原件。</w:t>
      </w:r>
    </w:p>
    <w:p>
      <w:pPr>
        <w:pStyle w:val="ListBullet"/>
      </w:pPr>
      <w:r>
        <w:t>"为国守史"要求以最严格标准保障档案长期真实可读，任何伪造都是对国家记忆的背叛。</w:t>
      </w:r>
    </w:p>
    <w:p>
      <w:pPr>
        <w:pStyle w:val="Heading3"/>
      </w:pPr>
      <w:r>
        <w:t>5.5　本章思考与讨论</w:t>
      </w:r>
    </w:p>
    <w:p>
      <w:pPr>
        <w:pStyle w:val="ListNumber"/>
      </w:pPr>
      <w:r>
        <w:t>格式迁移与仿真各有什么优劣？对"永久保存"而言，哪种更适合你的机构？</w:t>
      </w:r>
    </w:p>
    <w:p>
      <w:pPr>
        <w:pStyle w:val="ListNumber"/>
      </w:pPr>
      <w:r>
        <w:t>若 AI 复原了一段模糊档案的关键责任人姓名，但置信度仅 60%，应如何使用这段结果？</w:t>
      </w:r>
    </w:p>
    <w:p>
      <w:pPr>
        <w:pStyle w:val="ListNumber"/>
      </w:pPr>
      <w:r>
        <w:t>拓展阅读：DA/T 44《数字档案信息输出到缩微胶片上的规定》、数字保存 PREMIS 标准。</w:t>
      </w:r>
    </w:p>
    <w:p>
      <w:r>
        <w:t>________________________________________</w:t>
      </w:r>
    </w:p>
    <w:p>
      <w:pPr>
        <w:pStyle w:val="Heading3"/>
      </w:pPr>
      <w:r>
        <w:t>5.6　知识库延展（V1.0）：AI 辅助修复与数智化保护</w:t>
      </w:r>
    </w:p>
    <w:p>
      <w:r>
        <w:t>本版新增内容综合自「25DH（zd）」「DH 数字人文」知识库，承接 5.3 AI 辅助修复。</w:t>
      </w:r>
    </w:p>
    <w:p>
      <w:pPr>
        <w:pStyle w:val="ListBullet"/>
      </w:pPr>
      <w:r>
        <w:rPr>
          <w:b/>
        </w:rPr>
        <w:t>数智化保护进展</w:t>
      </w:r>
      <w:r>
        <w:t>：武汉大学跨学科团队在文化遗产数智化保护领域的新进展（DH 数字人文）给出"采集—增强—知识化—活态利用"的闭环，可对照 5.3 的超分辨率修复与 5.4 伦理红线。</w:t>
      </w:r>
    </w:p>
    <w:p>
      <w:pPr>
        <w:pStyle w:val="ListBullet"/>
      </w:pPr>
      <w:r>
        <w:rPr>
          <w:b/>
        </w:rPr>
        <w:t>生成式美学评价</w:t>
      </w:r>
      <w:r>
        <w:t>：刘家瑛《生成图像之美》（见 5.8）为 AIGC 修复/再生提供美学评价标准，帮助学生在"修复"与"创作"之间保持边界。</w:t>
      </w:r>
    </w:p>
    <w:p>
      <w:pPr>
        <w:pStyle w:val="ListBullet"/>
      </w:pPr>
      <w:r>
        <w:rPr>
          <w:b/>
        </w:rPr>
        <w:t>具身性提醒</w:t>
      </w:r>
      <w:r>
        <w:t>：王晓光《文化遗产信息的具身性》（见 5.8）提醒 AI 增强不能替代遗产的物质性与历史语境，强化 5.4 的伦理底线。</w:t>
      </w:r>
    </w:p>
    <w:p>
      <w:pPr>
        <w:pStyle w:val="Heading3"/>
      </w:pPr>
      <w:r>
        <w:t>5.7 AI 辅助修复、仿真复制与长期保存格式（V2.0）</w:t>
      </w:r>
    </w:p>
    <w:p>
      <w:r>
        <w:t>AI 在"保管与保护"环节的价值，必须落在</w:t>
      </w:r>
      <w:r>
        <w:rPr>
          <w:b/>
        </w:rPr>
        <w:t>标准合规</w:t>
      </w:r>
      <w:r>
        <w:t>之上。本小节把模块五修复思路对接真实档案行业标准（来源：档案行业标准知识库，均为国家档案局发布标准原文）：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标准号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与 AI 保护的关联</w:t>
            </w:r>
          </w:p>
        </w:tc>
      </w:tr>
      <w:tr>
        <w:tc>
          <w:tcPr>
            <w:tcW w:type="dxa" w:w="2880"/>
          </w:tcPr>
          <w:p>
            <w:r/>
            <w:r>
              <w:t>DA/T 25—2022</w:t>
            </w:r>
          </w:p>
        </w:tc>
        <w:tc>
          <w:tcPr>
            <w:tcW w:type="dxa" w:w="2880"/>
          </w:tcPr>
          <w:p>
            <w:r/>
            <w:r>
              <w:t>档案修裱技术规范</w:t>
            </w:r>
          </w:p>
        </w:tc>
        <w:tc>
          <w:tcPr>
            <w:tcW w:type="dxa" w:w="2880"/>
          </w:tcPr>
          <w:p>
            <w:r/>
            <w:r>
              <w:t>AI 补全/色彩还原须以修裱原则为底线，不掩盖原貌</w:t>
            </w:r>
          </w:p>
        </w:tc>
      </w:tr>
      <w:tr>
        <w:tc>
          <w:tcPr>
            <w:tcW w:type="dxa" w:w="2880"/>
          </w:tcPr>
          <w:p>
            <w:r/>
            <w:r>
              <w:t>DA/T 89—2022</w:t>
            </w:r>
          </w:p>
        </w:tc>
        <w:tc>
          <w:tcPr>
            <w:tcW w:type="dxa" w:w="2880"/>
          </w:tcPr>
          <w:p>
            <w:r/>
            <w:r>
              <w:t>实物档案数字化规范</w:t>
            </w:r>
          </w:p>
        </w:tc>
        <w:tc>
          <w:tcPr>
            <w:tcW w:type="dxa" w:w="2880"/>
          </w:tcPr>
          <w:p>
            <w:r/>
            <w:r>
              <w:t>三维/高清采集为 AI 修复提供基准真值</w:t>
            </w:r>
          </w:p>
        </w:tc>
      </w:tr>
      <w:tr>
        <w:tc>
          <w:tcPr>
            <w:tcW w:type="dxa" w:w="2880"/>
          </w:tcPr>
          <w:p>
            <w:r/>
            <w:r>
              <w:t>DA/T 90—2022</w:t>
            </w:r>
          </w:p>
        </w:tc>
        <w:tc>
          <w:tcPr>
            <w:tcW w:type="dxa" w:w="2880"/>
          </w:tcPr>
          <w:p>
            <w:r/>
            <w:r>
              <w:t>档案仿真复制工作规范</w:t>
            </w:r>
          </w:p>
        </w:tc>
        <w:tc>
          <w:tcPr>
            <w:tcW w:type="dxa" w:w="2880"/>
          </w:tcPr>
          <w:p>
            <w:r/>
            <w:r>
              <w:t>AI 生成的仿真件须明确标识"复制"</w:t>
            </w:r>
          </w:p>
        </w:tc>
      </w:tr>
      <w:tr>
        <w:tc>
          <w:tcPr>
            <w:tcW w:type="dxa" w:w="2880"/>
          </w:tcPr>
          <w:p>
            <w:r/>
            <w:r>
              <w:t>DA/T 99—2024</w:t>
            </w:r>
          </w:p>
        </w:tc>
        <w:tc>
          <w:tcPr>
            <w:tcW w:type="dxa" w:w="2880"/>
          </w:tcPr>
          <w:p>
            <w:r/>
            <w:r>
              <w:t>档案数字资源备份实施规范</w:t>
            </w:r>
          </w:p>
        </w:tc>
        <w:tc>
          <w:tcPr>
            <w:tcW w:type="dxa" w:w="2880"/>
          </w:tcPr>
          <w:p>
            <w:r/>
            <w:r>
              <w:t>AI 增强版与原版须分别备份、可溯源</w:t>
            </w:r>
          </w:p>
        </w:tc>
      </w:tr>
      <w:tr>
        <w:tc>
          <w:tcPr>
            <w:tcW w:type="dxa" w:w="2880"/>
          </w:tcPr>
          <w:p>
            <w:r/>
            <w:r>
              <w:t>DA/T 47—2009</w:t>
            </w:r>
          </w:p>
        </w:tc>
        <w:tc>
          <w:tcPr>
            <w:tcW w:type="dxa" w:w="2880"/>
          </w:tcPr>
          <w:p>
            <w:r/>
            <w:r>
              <w:t>版式电子文件长期保存格式需求</w:t>
            </w:r>
          </w:p>
        </w:tc>
        <w:tc>
          <w:tcPr>
            <w:tcW w:type="dxa" w:w="2880"/>
          </w:tcPr>
          <w:p>
            <w:r/>
            <w:r>
              <w:t>增强结果须存为长期保存格式（OFD/PDF/A）</w:t>
            </w:r>
          </w:p>
        </w:tc>
      </w:tr>
      <w:tr>
        <w:tc>
          <w:tcPr>
            <w:tcW w:type="dxa" w:w="2880"/>
          </w:tcPr>
          <w:p>
            <w:r/>
            <w:r>
              <w:t>DA/T 70—2018</w:t>
            </w:r>
          </w:p>
        </w:tc>
        <w:tc>
          <w:tcPr>
            <w:tcW w:type="dxa" w:w="2880"/>
          </w:tcPr>
          <w:p>
            <w:r/>
            <w:r>
              <w:t>文书类电子档案检测一般要求</w:t>
            </w:r>
          </w:p>
        </w:tc>
        <w:tc>
          <w:tcPr>
            <w:tcW w:type="dxa" w:w="2880"/>
          </w:tcPr>
          <w:p>
            <w:r/>
            <w:r>
              <w:t>增强前后"四性检测"指标对照</w:t>
            </w:r>
          </w:p>
        </w:tc>
      </w:tr>
    </w:tbl>
    <w:p>
      <w:pPr>
        <w:ind w:left="432"/>
      </w:pPr>
      <w:r>
        <w:rPr>
          <w:b/>
          <w:i/>
        </w:rPr>
        <w:t>铁律</w:t>
      </w:r>
      <w:r>
        <w:rPr>
          <w:i/>
        </w:rPr>
        <w:t>：任何 AI 增强（超分辨率、缺字补全、色彩还原）都</w:t>
      </w:r>
      <w:r>
        <w:rPr>
          <w:b/>
          <w:i/>
        </w:rPr>
        <w:t>不能替代原件</w:t>
      </w:r>
      <w:r>
        <w:rPr>
          <w:i/>
        </w:rPr>
        <w:t>，且必须标注"AI 增强版"、与原版一并保存、可审计。这既是 DA/T 70 要求，也是档案伦理底线。</w:t>
      </w:r>
    </w:p>
    <w:p>
      <w:r>
        <w:rPr>
          <w:b/>
        </w:rPr>
        <w:t>实践流程</w:t>
      </w:r>
      <w:r>
        <w:t>：</w:t>
      </w:r>
    </w:p>
    <w:p>
      <w:pPr>
        <w:pStyle w:val="ListNumber"/>
      </w:pPr>
      <w:r>
        <w:t>对一张模糊老照片做超分辨率增强；</w:t>
      </w:r>
    </w:p>
    <w:p>
      <w:pPr>
        <w:pStyle w:val="ListNumber"/>
      </w:pPr>
      <w:r>
        <w:t>按 DA/T 70 列出增强前后应检测指标；</w:t>
      </w:r>
    </w:p>
    <w:p>
      <w:pPr>
        <w:pStyle w:val="ListNumber"/>
      </w:pPr>
      <w:r>
        <w:t>撰写"AI 增强说明"附于档案元数据；</w:t>
      </w:r>
    </w:p>
    <w:p>
      <w:pPr>
        <w:pStyle w:val="ListNumber"/>
      </w:pPr>
      <w:r>
        <w:t>说明若发生争议如何溯源。</w:t>
      </w:r>
    </w:p>
    <w:p>
      <w:r>
        <w:rPr>
          <w:b/>
        </w:rPr>
        <w:t>评估要点</w:t>
      </w:r>
      <w:r>
        <w:t>：是否落实"原件与增强版分别保存、可审计"。</w:t>
      </w:r>
    </w:p>
    <w:p>
      <w:pPr>
        <w:pStyle w:val="Heading3"/>
      </w:pPr>
      <w:r>
        <w:t>5.8 案例精读：老照片超分辨率+仿真复制合规流程（V2.0 续）</w:t>
      </w:r>
    </w:p>
    <w:p>
      <w:r>
        <w:rPr>
          <w:b/>
        </w:rPr>
        <w:t>背景</w:t>
      </w:r>
      <w:r>
        <w:t>：把 5.7 标准落到一张实物照片。</w:t>
      </w:r>
    </w:p>
    <w:p>
      <w:r>
        <w:rPr>
          <w:b/>
        </w:rPr>
        <w:t>步骤</w:t>
      </w:r>
      <w:r>
        <w:t>：</w:t>
      </w:r>
    </w:p>
    <w:p>
      <w:pPr>
        <w:pStyle w:val="ListNumber"/>
      </w:pPr>
      <w:r>
        <w:t>按 DA/T 89 做高清采集（基准真值）；</w:t>
      </w:r>
    </w:p>
    <w:p>
      <w:pPr>
        <w:pStyle w:val="ListNumber"/>
      </w:pPr>
      <w:r>
        <w:t>超分辨率增强，标注"AI 增强版"；</w:t>
      </w:r>
    </w:p>
    <w:p>
      <w:pPr>
        <w:pStyle w:val="ListNumber"/>
      </w:pPr>
      <w:r>
        <w:t>按 DA/T 90 做仿真复制，复制件明示"复制"；</w:t>
      </w:r>
    </w:p>
    <w:p>
      <w:pPr>
        <w:pStyle w:val="ListNumber"/>
      </w:pPr>
      <w:r>
        <w:t>按 DA/T 99 把原版与增强版分别备份；</w:t>
      </w:r>
    </w:p>
    <w:p>
      <w:pPr>
        <w:pStyle w:val="ListNumber"/>
      </w:pPr>
      <w:r>
        <w:t>存为 DA/T 47 长期保存格式。</w:t>
      </w:r>
    </w:p>
    <w:p>
      <w:r>
        <w:rPr>
          <w:b/>
        </w:rPr>
        <w:t>产出物</w:t>
      </w:r>
      <w:r>
        <w:t>：原版/增强版/仿真件三件套 + "AI 增强说明"（5.7 铁律）。</w:t>
      </w:r>
    </w:p>
    <w:p>
      <w:pPr>
        <w:ind w:left="432"/>
      </w:pPr>
      <w:r>
        <w:rPr>
          <w:b/>
          <w:i/>
        </w:rPr>
        <w:t>思政延伸（课程思政示范案例 / AI 思政课 知识库）</w:t>
      </w:r>
      <w:r>
        <w:rPr>
          <w:i/>
        </w:rPr>
        <w:t>：可参照《中医基础理论》“中国传统文化”的育人切入点——遗产修复是对文明记忆的守护，修复的伦理红线不容突破。</w:t>
      </w:r>
    </w:p>
    <w:p>
      <w:pPr>
        <w:pStyle w:val="Heading3"/>
      </w:pPr>
      <w:r>
        <w:t>5.9 学术前沿：OpenAlex / DBLP / arXiv / CrossRef / CORE 实证文献（V2.1）</w:t>
      </w:r>
    </w:p>
    <w:p>
      <w:r>
        <w:t>长期保存与 AI 辅助修复的学理依据来自数字保存与图像复原研究。下列文献可供延伸阅读。</w:t>
      </w:r>
    </w:p>
    <w:p>
      <w:r>
        <w:t>下表为通过多个</w:t>
      </w:r>
      <w:r>
        <w:rPr>
          <w:b/>
        </w:rPr>
        <w:t>可免费开放检索</w:t>
      </w:r>
      <w:r>
        <w:t>的学术数据库检索到的真实文献，按来源/相关性/被引排序，供课堂延伸阅读与实验报告引用：</w:t>
      </w:r>
    </w:p>
    <w:p>
      <w:pPr>
        <w:pStyle w:val="ListBullet"/>
      </w:pPr>
      <w:r>
        <w:rPr>
          <w:b/>
        </w:rPr>
        <w:t>OpenAlex</w:t>
      </w:r>
      <w:r>
        <w:t>：开放学术图谱，聚合期刊、会议与预印本（含 Crossref/arXiv），带被引数；</w:t>
      </w:r>
    </w:p>
    <w:p>
      <w:pPr>
        <w:pStyle w:val="ListBullet"/>
      </w:pPr>
      <w:r>
        <w:rPr>
          <w:b/>
        </w:rPr>
        <w:t>DBLP</w:t>
      </w:r>
      <w:r>
        <w:t>：计算机领域会议/期刊权威索引，覆盖 SIGIR、UIST、DH、IJDAR、EPIA 等；</w:t>
      </w:r>
    </w:p>
    <w:p>
      <w:pPr>
        <w:pStyle w:val="ListBullet"/>
      </w:pPr>
      <w:r>
        <w:rPr>
          <w:b/>
        </w:rPr>
        <w:t>arXiv</w:t>
      </w:r>
      <w:r>
        <w:t>：预印本平台（注意：未经同行评审）；</w:t>
      </w:r>
    </w:p>
    <w:p>
      <w:pPr>
        <w:pStyle w:val="ListBullet"/>
      </w:pPr>
      <w:r>
        <w:rPr>
          <w:b/>
        </w:rPr>
        <w:t>CrossRef</w:t>
      </w:r>
      <w:r>
        <w:t>：期刊 DOI 元数据，可溯源到出版社电子期刊原文；</w:t>
      </w:r>
    </w:p>
    <w:p>
      <w:pPr>
        <w:pStyle w:val="ListBullet"/>
      </w:pPr>
      <w:r>
        <w:rPr>
          <w:b/>
        </w:rPr>
        <w:t>CORE</w:t>
      </w:r>
      <w:r>
        <w:t>：开放获取（OA）学术作品库，覆盖大量电子期刊全文。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标题（链接）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作者 / 场所</w:t>
            </w:r>
          </w:p>
        </w:tc>
      </w:tr>
      <w:tr>
        <w:tc>
          <w:tcPr>
            <w:tcW w:type="dxa" w:w="2160"/>
          </w:tcPr>
          <w:p>
            <w:r/>
            <w:r>
              <w:t>SemanticScholar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[PRNet: Pyramid Restoration Network for RAW Image Super-Resolution](https://www.semanticscholar.org/paper/8af9b59aa3cff361741569d8f46bef5176d42a30)</w:t>
            </w:r>
          </w:p>
        </w:tc>
        <w:tc>
          <w:tcPr>
            <w:tcW w:type="dxa" w:w="2160"/>
          </w:tcPr>
          <w:p>
            <w:r/>
            <w:r>
              <w:t>IEEE Transactions on Computational Imaging（被引 15）</w:t>
            </w:r>
          </w:p>
        </w:tc>
      </w:tr>
      <w:tr>
        <w:tc>
          <w:tcPr>
            <w:tcW w:type="dxa" w:w="2160"/>
          </w:tcPr>
          <w:p>
            <w:r/>
            <w:r>
              <w:t>SemanticScholar</w:t>
            </w:r>
          </w:p>
        </w:tc>
        <w:tc>
          <w:tcPr>
            <w:tcW w:type="dxa" w:w="2160"/>
          </w:tcPr>
          <w:p>
            <w:r/>
            <w:r>
              <w:t>2023</w:t>
            </w:r>
          </w:p>
        </w:tc>
        <w:tc>
          <w:tcPr>
            <w:tcW w:type="dxa" w:w="2160"/>
          </w:tcPr>
          <w:p>
            <w:r/>
            <w:r>
              <w:t>[(MLE$^{2}$A$^{2}$U)-Net: Image Super-Resolution via Multi-Level Edge Embedding and Aggregated Attentive Upsampler Network](https://www.semanticscholar.org/paper/35e4cb46875b70b3ef4fac56dc91e1ac85c961e1)</w:t>
            </w:r>
          </w:p>
        </w:tc>
        <w:tc>
          <w:tcPr>
            <w:tcW w:type="dxa" w:w="2160"/>
          </w:tcPr>
          <w:p>
            <w:r/>
            <w:r>
              <w:t>IEEE Transactions on Emerging Topics in Computational Intelligence（被引 10）</w:t>
            </w:r>
          </w:p>
        </w:tc>
      </w:tr>
      <w:tr>
        <w:tc>
          <w:tcPr>
            <w:tcW w:type="dxa" w:w="2160"/>
          </w:tcPr>
          <w:p>
            <w:r/>
            <w:r>
              <w:t>SemanticScholar</w:t>
            </w:r>
          </w:p>
        </w:tc>
        <w:tc>
          <w:tcPr>
            <w:tcW w:type="dxa" w:w="2160"/>
          </w:tcPr>
          <w:p>
            <w:r/>
            <w:r>
              <w:t>2025</w:t>
            </w:r>
          </w:p>
        </w:tc>
        <w:tc>
          <w:tcPr>
            <w:tcW w:type="dxa" w:w="2160"/>
          </w:tcPr>
          <w:p>
            <w:r/>
            <w:r>
              <w:t>[Multi-Scale Texture Fusion for Reference-Based Image Super-Resolution: New Dataset and Solution](https://www.semanticscholar.org/paper/f5795123bdee8a20ce7ebc25e2b13761517e27c7)</w:t>
            </w:r>
          </w:p>
        </w:tc>
        <w:tc>
          <w:tcPr>
            <w:tcW w:type="dxa" w:w="2160"/>
          </w:tcPr>
          <w:p>
            <w:r/>
            <w:r>
              <w:t>International Journal of Computer Vision（被引 5）</w:t>
            </w:r>
          </w:p>
        </w:tc>
      </w:tr>
      <w:tr>
        <w:tc>
          <w:tcPr>
            <w:tcW w:type="dxa" w:w="2160"/>
          </w:tcPr>
          <w:p>
            <w:r/>
            <w:r>
              <w:t>SemanticScholar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[Frequency-Separated Attention Network for Image Super-Resolution](https://www.semanticscholar.org/paper/0b2e86472851ceb969480661a2309a728f44d5d0)</w:t>
            </w:r>
          </w:p>
        </w:tc>
        <w:tc>
          <w:tcPr>
            <w:tcW w:type="dxa" w:w="2160"/>
          </w:tcPr>
          <w:p>
            <w:r/>
            <w:r>
              <w:t>Applied Sciences（被引 5）</w:t>
            </w:r>
          </w:p>
        </w:tc>
      </w:tr>
      <w:tr>
        <w:tc>
          <w:tcPr>
            <w:tcW w:type="dxa" w:w="2160"/>
          </w:tcPr>
          <w:p>
            <w:r/>
            <w:r>
              <w:t>SemanticScholar</w:t>
            </w:r>
          </w:p>
        </w:tc>
        <w:tc>
          <w:tcPr>
            <w:tcW w:type="dxa" w:w="2160"/>
          </w:tcPr>
          <w:p>
            <w:r/>
            <w:r>
              <w:t>2024</w:t>
            </w:r>
          </w:p>
        </w:tc>
        <w:tc>
          <w:tcPr>
            <w:tcW w:type="dxa" w:w="2160"/>
          </w:tcPr>
          <w:p>
            <w:r/>
            <w:r>
              <w:t>[Fast and Long‐Term Super‐Resolution Imaging of Endoplasmic Reticulum Nano‐structural Dynamics in Living Cells Using a Neural Network](https://www.semanticscholar.org/paper/0f8243f5ebd03f0503655ea8d0ee767fb2dad546)</w:t>
            </w:r>
          </w:p>
        </w:tc>
        <w:tc>
          <w:tcPr>
            <w:tcW w:type="dxa" w:w="2160"/>
          </w:tcPr>
          <w:p>
            <w:r/>
            <w:r>
              <w:t>Small Science（被引 4）</w:t>
            </w:r>
          </w:p>
        </w:tc>
      </w:tr>
      <w:tr>
        <w:tc>
          <w:tcPr>
            <w:tcW w:type="dxa" w:w="2160"/>
          </w:tcPr>
          <w:p>
            <w:r/>
            <w:r>
              <w:t>CrossRef</w:t>
            </w:r>
          </w:p>
        </w:tc>
        <w:tc>
          <w:tcPr>
            <w:tcW w:type="dxa" w:w="2160"/>
          </w:tcPr>
          <w:p>
            <w:r/>
            <w:r>
              <w:t>2012</w:t>
            </w:r>
          </w:p>
        </w:tc>
        <w:tc>
          <w:tcPr>
            <w:tcW w:type="dxa" w:w="2160"/>
          </w:tcPr>
          <w:p>
            <w:r/>
            <w:r>
              <w:t>[Super-Resolution Restoration and Image Reconstruction for Passive Millimeter Wave Imaging](https://doi.org/10.5772/35376)</w:t>
            </w:r>
          </w:p>
        </w:tc>
        <w:tc>
          <w:tcPr>
            <w:tcW w:type="dxa" w:w="2160"/>
          </w:tcPr>
          <w:p>
            <w:r/>
            <w:r>
              <w:t>Image Restoration - Recent Advances and Applications（被引 3）</w:t>
            </w:r>
          </w:p>
        </w:tc>
      </w:tr>
      <w:tr>
        <w:tc>
          <w:tcPr>
            <w:tcW w:type="dxa" w:w="2160"/>
          </w:tcPr>
          <w:p>
            <w:r/>
            <w:r>
              <w:t>SemanticScholar</w:t>
            </w:r>
          </w:p>
        </w:tc>
        <w:tc>
          <w:tcPr>
            <w:tcW w:type="dxa" w:w="2160"/>
          </w:tcPr>
          <w:p>
            <w:r/>
            <w:r>
              <w:t>2025</w:t>
            </w:r>
          </w:p>
        </w:tc>
        <w:tc>
          <w:tcPr>
            <w:tcW w:type="dxa" w:w="2160"/>
          </w:tcPr>
          <w:p>
            <w:r/>
            <w:r>
              <w:t>[Fast and long-term super-resolution STED microscopy of nanostructural cellular dynamics using a neural network](https://www.semanticscholar.org/paper/8f9716ddd2255610fabdc99905c9441f9239252c)</w:t>
            </w:r>
          </w:p>
        </w:tc>
        <w:tc>
          <w:tcPr>
            <w:tcW w:type="dxa" w:w="2160"/>
          </w:tcPr>
          <w:p>
            <w:r/>
            <w:r>
              <w:t>BiOS（被引 2）</w:t>
            </w:r>
          </w:p>
        </w:tc>
      </w:tr>
      <w:tr>
        <w:tc>
          <w:tcPr>
            <w:tcW w:type="dxa" w:w="2160"/>
          </w:tcPr>
          <w:p>
            <w:r/>
            <w:r>
              <w:t>SemanticScholar</w:t>
            </w:r>
          </w:p>
        </w:tc>
        <w:tc>
          <w:tcPr>
            <w:tcW w:type="dxa" w:w="2160"/>
          </w:tcPr>
          <w:p>
            <w:r/>
            <w:r>
              <w:t>2025</w:t>
            </w:r>
          </w:p>
        </w:tc>
        <w:tc>
          <w:tcPr>
            <w:tcW w:type="dxa" w:w="2160"/>
          </w:tcPr>
          <w:p>
            <w:r/>
            <w:r>
              <w:t>[Long-term wetland mapping at 10 m resolution using super-resolution and hierarchical classification – a case study in Jianghan Plain, China](https://www.semanticscholar.org/paper/8544bd0db1737f8417d6426573dceeea69094984)</w:t>
            </w:r>
          </w:p>
        </w:tc>
        <w:tc>
          <w:tcPr>
            <w:tcW w:type="dxa" w:w="2160"/>
          </w:tcPr>
          <w:p>
            <w:r/>
            <w:r>
              <w:t>International Journal of Digital Earth（被引 2）</w:t>
            </w:r>
          </w:p>
        </w:tc>
      </w:tr>
      <w:tr>
        <w:tc>
          <w:tcPr>
            <w:tcW w:type="dxa" w:w="2160"/>
          </w:tcPr>
          <w:p>
            <w:r/>
            <w:r>
              <w:t>SemanticScholar</w:t>
            </w:r>
          </w:p>
        </w:tc>
        <w:tc>
          <w:tcPr>
            <w:tcW w:type="dxa" w:w="2160"/>
          </w:tcPr>
          <w:p>
            <w:r/>
            <w:r>
              <w:t>2025</w:t>
            </w:r>
          </w:p>
        </w:tc>
        <w:tc>
          <w:tcPr>
            <w:tcW w:type="dxa" w:w="2160"/>
          </w:tcPr>
          <w:p>
            <w:r/>
            <w:r>
              <w:t>[Fusing Multi-Temporal Context for Image Super-Resolution Reconstruction in Cultural Heritage Monitoring](https://www.semanticscholar.org/paper/543611707303a10da1c3f9235f07be53f4ed8744)</w:t>
            </w:r>
          </w:p>
        </w:tc>
        <w:tc>
          <w:tcPr>
            <w:tcW w:type="dxa" w:w="2160"/>
          </w:tcPr>
          <w:p>
            <w:r/>
            <w:r>
              <w:t>Italian National Conference on Sensors（被引 2）</w:t>
            </w:r>
          </w:p>
        </w:tc>
      </w:tr>
    </w:tbl>
    <w:p>
      <w:r>
        <w:rPr>
          <w:b/>
        </w:rPr>
        <w:t>课堂复现（检索即方法）</w:t>
      </w:r>
      <w:r>
        <w:t>：下列代码展示如何直接调用 OpenAlex 与 CrossRef 的免费 API 复现本模块文献检索，强调"可溯源"的研究习惯（无需任何密钥）。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复现本节课的文献检索（均为免费开放 API，无需密钥）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import urllib.request, urllib.parse, json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q = 'digital preservation long term image super resolution restoration'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1) OpenAlex：开放学术图谱（聚合期刊/会议/预印本，含被引数）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url_oa = "https://api.openalex.org/works?search=" + urllib.parse.quote(q) + "&amp;per_page=10&amp;sort=cited_by_count:desc"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oa = json.loads(urllib.request.urlopen(url_oa,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w in oa["results"]: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print("OA", w["publication_year"], w["title"], "-&gt;", (w.get("primary_location") or {}).get("source", {}).get("display_name"))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# 2) CrossRef：期刊 DOI 元数据（代表期刊网站 / 电子期刊，可溯到出版社原文）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url_cr = "https://api.crossref.org/works?query=" + urllib.parse.quote(q) + "&amp;rows=10"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cr = json.loads(urllib.request.urlopen(url_cr, timeout=30).read())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>for it in cr["message"]["items"]:</w:t>
      </w:r>
    </w:p>
    <w:p>
      <w:pPr>
        <w:spacing w:after="0"/>
        <w:ind w:left="288"/>
      </w:pPr>
      <w:r>
        <w:rPr>
          <w:rFonts w:ascii="Consolas" w:hAnsi="Consolas" w:eastAsia="宋体"/>
          <w:sz w:val="17"/>
        </w:rPr>
        <w:t xml:space="preserve">    print("CR", (it.get("issued",{}).get("date-parts",[[""]])[0][0]), (it.get("title") or [""])[0])</w:t>
      </w:r>
    </w:p>
    <w:p>
      <w:r>
        <w:rPr>
          <w:b/>
        </w:rPr>
        <w:t>误用警示</w:t>
      </w:r>
      <w:r>
        <w:t>：① 预印本（arXiv）未经同行评审，引用时须标注"preprint"并追踪正式版本；② 被引数仅代表影响力而非结论正确，须回到原文核对方法与数据；③ 商业数据库（Web of Science、Scopus、Elsevier、JSTOR、CNKI 知网、万方、维普等）本环境无订阅权限，无法直连，需通过机构账号在本地获取后再贴入；④ 文献与本节实验的映射是"启发"而非"背书"，落地前需在教材预部署环境中实测。</w:t>
      </w:r>
    </w:p>
    <w:p>
      <w:r>
        <w:rPr>
          <w:b/>
        </w:rPr>
        <w:t>与实验衔接</w:t>
      </w:r>
      <w:r>
        <w:t>：将上述任一篇文献的方法（如 VLM 文档理解、BERTopic 主题建模、知识图谱问答）对照本模块实验改写数据集或提示词，即可形成有学术依据的结题报告。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第五部分　档案智能保管与保护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