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left="432"/>
      </w:pPr>
      <w:r>
        <w:rPr>
          <w:b/>
          <w:i/>
        </w:rPr>
        <w:t>学习目标</w:t>
      </w:r>
      <w:r>
        <w:rPr>
          <w:i/>
        </w:rPr>
        <w:br/>
        <w:t>- 知识：掌握《档案法》《数据安全法》《个人信息保护法》中与管理相关的核心条款；理解算法偏见、可解释性、自动化决策的伦理风险。</w:t>
        <w:br/>
        <w:t>- 能力：能就一个具体智能管理场景识别法律风险点与伦理冲突；能设计"开放—保密"平衡方案。</w:t>
        <w:br/>
        <w:t>- 素养：建立"技术可用，伦理先行"的底线意识；理解档案智能应用的公共责任。</w:t>
      </w:r>
    </w:p>
    <w:p>
      <w:pPr>
        <w:pStyle w:val="Heading3"/>
      </w:pPr>
      <w:r>
        <w:t>7.1　档案数据隐私保护</w:t>
      </w:r>
    </w:p>
    <w:p>
      <w:pPr>
        <w:pStyle w:val="ListBullet"/>
      </w:pPr>
      <w:r>
        <w:rPr>
          <w:b/>
        </w:rPr>
        <w:t>《个人信息保护法》</w:t>
      </w:r>
      <w:r>
        <w:t>：处理敏感个人信息须有法定理由并去标识化；档案中的个人履历、健康、政治面貌属敏感信息。</w:t>
      </w:r>
    </w:p>
    <w:p>
      <w:pPr>
        <w:pStyle w:val="ListBullet"/>
      </w:pPr>
      <w:r>
        <w:rPr>
          <w:b/>
        </w:rPr>
        <w:t>去标识化与匿名化</w:t>
      </w:r>
      <w:r>
        <w:t>：开放档案前对姓名、身份证号等做脱敏，但须保留研究可用性（如保留年代、地域粒度）。</w:t>
      </w:r>
    </w:p>
    <w:p>
      <w:pPr>
        <w:pStyle w:val="ListBullet"/>
      </w:pPr>
      <w:r>
        <w:rPr>
          <w:b/>
        </w:rPr>
        <w:t>授权与最小化</w:t>
      </w:r>
      <w:r>
        <w:t>：采集与利用遵循"目的限定、最小必要"。</w:t>
      </w:r>
    </w:p>
    <w:p>
      <w:pPr>
        <w:pStyle w:val="Heading3"/>
      </w:pPr>
      <w:r>
        <w:t>7.2　AI 伦理应用</w:t>
      </w:r>
    </w:p>
    <w:p>
      <w:pPr>
        <w:pStyle w:val="ListBullet"/>
      </w:pPr>
      <w:r>
        <w:rPr>
          <w:b/>
        </w:rPr>
        <w:t>算法偏见</w:t>
      </w:r>
      <w:r>
        <w:t>：训练数据偏向某群体，可能导致分类/检索不公（如某类档案被系统性低估）。</w:t>
      </w:r>
    </w:p>
    <w:p>
      <w:pPr>
        <w:pStyle w:val="ListBullet"/>
      </w:pPr>
      <w:r>
        <w:rPr>
          <w:b/>
        </w:rPr>
        <w:t>可解释性</w:t>
      </w:r>
      <w:r>
        <w:t>：自动分类、推荐结果应可解释，不能"黑箱决策"影响查档权益。</w:t>
      </w:r>
    </w:p>
    <w:p>
      <w:pPr>
        <w:pStyle w:val="ListBullet"/>
      </w:pPr>
      <w:r>
        <w:rPr>
          <w:b/>
        </w:rPr>
        <w:t>自动化决策的边界</w:t>
      </w:r>
      <w:r>
        <w:t>：涉及开放/不开放、密级判定的关键决策，须保留人工终审，AI 仅作辅助。</w:t>
      </w:r>
    </w:p>
    <w:p>
      <w:pPr>
        <w:pStyle w:val="Heading3"/>
      </w:pPr>
      <w:r>
        <w:t>7.3　开放与保密的平衡</w:t>
      </w:r>
    </w:p>
    <w:p>
      <w:pPr>
        <w:pStyle w:val="ListBullet"/>
      </w:pPr>
      <w:r>
        <w:rPr>
          <w:b/>
        </w:rPr>
        <w:t>《档案法》</w:t>
      </w:r>
      <w:r>
        <w:t>：规定档案封闭期与开放利用；涉密、未到开放期档案依法不开放。</w:t>
      </w:r>
    </w:p>
    <w:p>
      <w:pPr>
        <w:pStyle w:val="ListBullet"/>
      </w:pPr>
      <w:r>
        <w:rPr>
          <w:b/>
        </w:rPr>
        <w:t>分级分类</w:t>
      </w:r>
      <w:r>
        <w:t>：按密级、敏感程度分层管理，智能系统须内置权限控制。</w:t>
      </w:r>
    </w:p>
    <w:p>
      <w:pPr>
        <w:pStyle w:val="ListBullet"/>
      </w:pPr>
      <w:r>
        <w:rPr>
          <w:b/>
        </w:rPr>
        <w:t>解密与开放</w:t>
      </w:r>
      <w:r>
        <w:t>：建立定期解密审查机制，用 AI 辅助识别可开放档案，但解密决定须人工确认。</w:t>
      </w:r>
    </w:p>
    <w:p>
      <w:r>
        <w:rPr>
          <w:b/>
        </w:rPr>
        <w:t>实践思路（开放判定辅助）</w:t>
      </w:r>
      <w:r>
        <w:t>：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# 概念示例：基于规则+模型辅助判断档案是否可开放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def open_advice(meta):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 xml:space="preserve">    if meta["secret_level"] != "公开" and meta["years_since_close"] &lt; 30: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 xml:space="preserve">        return "不开放（封闭期内）"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 xml:space="preserve">    if meta["contains_pii"] and not meta["de_identified"]: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 xml:space="preserve">        return "需脱敏后开放"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 xml:space="preserve">    return "建议开放（人工终审）"</w:t>
      </w:r>
    </w:p>
    <w:p>
      <w:pPr>
        <w:pStyle w:val="Heading3"/>
      </w:pPr>
      <w:r>
        <w:t>7.4　伦理困境案例讨论</w:t>
      </w:r>
    </w:p>
    <w:p>
      <w:pPr>
        <w:pStyle w:val="ListBullet"/>
      </w:pPr>
      <w:r>
        <w:rPr>
          <w:b/>
        </w:rPr>
        <w:t>案例 A</w:t>
      </w:r>
      <w:r>
        <w:t>：一份涉及已故名人的未开放档案，研究者以"历史研究"申请利用，机构如何平衡学术自由与隐私/名誉？</w:t>
      </w:r>
    </w:p>
    <w:p>
      <w:pPr>
        <w:pStyle w:val="ListBullet"/>
      </w:pPr>
      <w:r>
        <w:rPr>
          <w:b/>
        </w:rPr>
        <w:t>案例 B</w:t>
      </w:r>
      <w:r>
        <w:t>：AI 推荐把某家族敏感档案推给其亲属，虽"相关"但造成困扰，责任在谁？</w:t>
      </w:r>
    </w:p>
    <w:p>
      <w:pPr>
        <w:pStyle w:val="ListBullet"/>
      </w:pPr>
      <w:r>
        <w:rPr>
          <w:b/>
        </w:rPr>
        <w:t>案例 C</w:t>
      </w:r>
      <w:r>
        <w:t>：OCR 自动把受迫害者姓名识别并公开，是否构成二次伤害？</w:t>
      </w:r>
    </w:p>
    <w:p>
      <w:pPr>
        <w:ind w:left="432"/>
      </w:pPr>
      <w:r>
        <w:rPr>
          <w:b/>
          <w:i/>
        </w:rPr>
        <w:t>智能交互（AI 生成伦理困境）</w:t>
      </w:r>
      <w:r>
        <w:rPr>
          <w:i/>
        </w:rPr>
        <w:t>：系统针对学生所在岗位生成定制化伦理困境，引导角色扮演与思辨讨论，并记录其立场演变，作为素养评价依据。</w:t>
      </w:r>
    </w:p>
    <w:p>
      <w:pPr>
        <w:ind w:left="432"/>
      </w:pPr>
      <w:r>
        <w:rPr>
          <w:b/>
          <w:i/>
        </w:rPr>
        <w:t>讯飞知喻实践（专栏）</w:t>
      </w:r>
      <w:r>
        <w:rPr>
          <w:i/>
        </w:rPr>
        <w:t>：讯飞知喻在档案智能化实践中内置 AI 伦理与数据安全规范，从采集授权、传输加密到权限分级、审计留痕，形成"可用不可滥"的闭环。课堂可对照该规范审视前述案例。</w:t>
      </w:r>
    </w:p>
    <w:p>
      <w:pPr>
        <w:pStyle w:val="Heading3"/>
      </w:pPr>
      <w:r>
        <w:t>7.5　本章思考与讨论</w:t>
      </w:r>
    </w:p>
    <w:p>
      <w:pPr>
        <w:pStyle w:val="ListNumber"/>
      </w:pPr>
      <w:r>
        <w:t>若 AI 分类把一份应"永久保密"的档案误标为"可开放"，责任如何划分（算法/部署方/档案人）？</w:t>
      </w:r>
    </w:p>
    <w:p>
      <w:pPr>
        <w:pStyle w:val="ListNumber"/>
      </w:pPr>
      <w:r>
        <w:t>设计一份"档案开放前脱敏 checklist"。</w:t>
      </w:r>
    </w:p>
    <w:p>
      <w:pPr>
        <w:pStyle w:val="ListNumber"/>
      </w:pPr>
      <w:r>
        <w:t>拓展阅读：《中华人民共和国档案法》（2020 修订）、《数据安全法》、《个人信息保护法》。</w:t>
      </w:r>
    </w:p>
    <w:p>
      <w:r>
        <w:t>________________________________________</w:t>
      </w:r>
    </w:p>
    <w:p>
      <w:pPr>
        <w:pStyle w:val="Heading3"/>
      </w:pPr>
      <w:r>
        <w:t>7.6　知识库延展（V1.0）：政务大模型安全治理与 AI 伦理</w:t>
      </w:r>
    </w:p>
    <w:p>
      <w:r>
        <w:t>本版新增内容综合自「数字治理」「DH 数字人文」知识库，深化 7.1–7.4。</w:t>
      </w:r>
    </w:p>
    <w:p>
      <w:pPr>
        <w:pStyle w:val="ListBullet"/>
      </w:pPr>
      <w:r>
        <w:rPr>
          <w:b/>
        </w:rPr>
        <w:t>政务大模型安全治理</w:t>
      </w:r>
      <w:r>
        <w:t>：奇安信《2024 政务大模型安全治理框架报告》给出"数据—模型—应用—运营"四层治理框架，可映射为档案大模型（AI 数字人教师、智能编研）的安全基线。</w:t>
      </w:r>
    </w:p>
    <w:p>
      <w:pPr>
        <w:pStyle w:val="ListBullet"/>
      </w:pPr>
      <w:r>
        <w:rPr>
          <w:b/>
        </w:rPr>
        <w:t>高质量数据集安全</w:t>
      </w:r>
      <w:r>
        <w:t>：中国信通院《人工智能高质量数据集建设指南》强调训练数据的合规获取、标注质量与可追溯，直接支撑 7.3 开放与保密平衡中的"可开放数据"判定。</w:t>
      </w:r>
    </w:p>
    <w:p>
      <w:pPr>
        <w:pStyle w:val="ListBullet"/>
      </w:pPr>
      <w:r>
        <w:rPr>
          <w:b/>
        </w:rPr>
        <w:t>全球 AI 治理</w:t>
      </w:r>
      <w:r>
        <w:t>：联合国《人工智能全球治理：框架、举措与路径》提供跨国治理语境，帮助学生在 7.4 伦理困境讨论中建立比较视野。</w:t>
      </w:r>
    </w:p>
    <w:p>
      <w:pPr>
        <w:pStyle w:val="ListBullet"/>
      </w:pPr>
      <w:r>
        <w:rPr>
          <w:b/>
        </w:rPr>
        <w:t>隐私保护落地</w:t>
      </w:r>
      <w:r>
        <w:t>：中国信通院《政务数据共享开放安全研究报告》（见 1.7）的"分类分级 + 脱敏 + 审计"三件套，可作为 7.1 档案数据隐私保护的操作清单。</w:t>
      </w:r>
    </w:p>
    <w:p>
      <w:pPr>
        <w:pStyle w:val="Heading3"/>
      </w:pPr>
      <w:r>
        <w:t>7.7 大模型安全治理与档案合规（V2.0）</w:t>
      </w:r>
    </w:p>
    <w:p>
      <w:r>
        <w:t>把 AI 引入档案，最大风险不在"不准"而在"不可控"。本小节系统梳理档案 AI 的安全治理（来源：最全行业报告《大模型和智能体安全风险治理与防护》、数世咨询《安全优先的大模型》、同济大学《2025 开源大模型法律风险及防范研究报告》、《大模型训练数据安全研究报告》、《大模型时代的内容治理》）：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风险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表现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档案场景对策</w:t>
            </w:r>
          </w:p>
        </w:tc>
      </w:tr>
      <w:tr>
        <w:tc>
          <w:tcPr>
            <w:tcW w:type="dxa" w:w="2880"/>
          </w:tcPr>
          <w:p>
            <w:r/>
            <w:r>
              <w:t>幻觉</w:t>
            </w:r>
          </w:p>
        </w:tc>
        <w:tc>
          <w:tcPr>
            <w:tcW w:type="dxa" w:w="2880"/>
          </w:tcPr>
          <w:p>
            <w:r/>
            <w:r>
              <w:t>编造不存在的档案内容</w:t>
            </w:r>
          </w:p>
        </w:tc>
        <w:tc>
          <w:tcPr>
            <w:tcW w:type="dxa" w:w="2880"/>
          </w:tcPr>
          <w:p>
            <w:r/>
            <w:r>
              <w:t>关键结论须溯到原件；RAG 限域内语料</w:t>
            </w:r>
          </w:p>
        </w:tc>
      </w:tr>
      <w:tr>
        <w:tc>
          <w:tcPr>
            <w:tcW w:type="dxa" w:w="2880"/>
          </w:tcPr>
          <w:p>
            <w:r/>
            <w:r>
              <w:t>数据泄露</w:t>
            </w:r>
          </w:p>
        </w:tc>
        <w:tc>
          <w:tcPr>
            <w:tcW w:type="dxa" w:w="2880"/>
          </w:tcPr>
          <w:p>
            <w:r/>
            <w:r>
              <w:t>训练/推理泄露个人隐私</w:t>
            </w:r>
          </w:p>
        </w:tc>
        <w:tc>
          <w:tcPr>
            <w:tcW w:type="dxa" w:w="2880"/>
          </w:tcPr>
          <w:p>
            <w:r/>
            <w:r>
              <w:t>脱敏后入模型；私有化部署</w:t>
            </w:r>
          </w:p>
        </w:tc>
      </w:tr>
      <w:tr>
        <w:tc>
          <w:tcPr>
            <w:tcW w:type="dxa" w:w="2880"/>
          </w:tcPr>
          <w:p>
            <w:r/>
            <w:r>
              <w:t>投毒</w:t>
            </w:r>
          </w:p>
        </w:tc>
        <w:tc>
          <w:tcPr>
            <w:tcW w:type="dxa" w:w="2880"/>
          </w:tcPr>
          <w:p>
            <w:r/>
            <w:r>
              <w:t>恶意样本污染语料</w:t>
            </w:r>
          </w:p>
        </w:tc>
        <w:tc>
          <w:tcPr>
            <w:tcW w:type="dxa" w:w="2880"/>
          </w:tcPr>
          <w:p>
            <w:r/>
            <w:r>
              <w:t>来源审计；人工抽检</w:t>
            </w:r>
          </w:p>
        </w:tc>
      </w:tr>
      <w:tr>
        <w:tc>
          <w:tcPr>
            <w:tcW w:type="dxa" w:w="2880"/>
          </w:tcPr>
          <w:p>
            <w:r/>
            <w:r>
              <w:t>越权</w:t>
            </w:r>
          </w:p>
        </w:tc>
        <w:tc>
          <w:tcPr>
            <w:tcW w:type="dxa" w:w="2880"/>
          </w:tcPr>
          <w:p>
            <w:r/>
            <w:r>
              <w:t>agent 越权调取涉密档</w:t>
            </w:r>
          </w:p>
        </w:tc>
        <w:tc>
          <w:tcPr>
            <w:tcW w:type="dxa" w:w="2880"/>
          </w:tcPr>
          <w:p>
            <w:r/>
            <w:r>
              <w:t>权限分级；人工终审</w:t>
            </w:r>
          </w:p>
        </w:tc>
      </w:tr>
      <w:tr>
        <w:tc>
          <w:tcPr>
            <w:tcW w:type="dxa" w:w="2880"/>
          </w:tcPr>
          <w:p>
            <w:r/>
            <w:r>
              <w:t>版权/法律</w:t>
            </w:r>
          </w:p>
        </w:tc>
        <w:tc>
          <w:tcPr>
            <w:tcW w:type="dxa" w:w="2880"/>
          </w:tcPr>
          <w:p>
            <w:r/>
            <w:r>
              <w:t>误用未授权数据训练</w:t>
            </w:r>
          </w:p>
        </w:tc>
        <w:tc>
          <w:tcPr>
            <w:tcW w:type="dxa" w:w="2880"/>
          </w:tcPr>
          <w:p>
            <w:r/>
            <w:r>
              <w:t>仅用已授权/开放数据</w:t>
            </w:r>
          </w:p>
        </w:tc>
      </w:tr>
    </w:tbl>
    <w:p>
      <w:pPr>
        <w:ind w:left="432"/>
      </w:pPr>
      <w:r>
        <w:rPr>
          <w:b/>
          <w:i/>
        </w:rPr>
        <w:t>衔接 7.6</w:t>
      </w:r>
      <w:r>
        <w:rPr>
          <w:i/>
        </w:rPr>
        <w:t>：7.6 讲政务大模型安全治理框架，本节落到档案"五类风险—对策"清单，作系统上线前合规检查表。</w:t>
      </w:r>
    </w:p>
    <w:p>
      <w:r>
        <w:rPr>
          <w:b/>
        </w:rPr>
        <w:t>实践流程</w:t>
      </w:r>
      <w:r>
        <w:t>：</w:t>
      </w:r>
    </w:p>
    <w:p>
      <w:pPr>
        <w:pStyle w:val="ListNumber"/>
      </w:pPr>
      <w:r>
        <w:t>为一款"档案智能问答机器人"起草合规检查表；</w:t>
      </w:r>
    </w:p>
    <w:p>
      <w:pPr>
        <w:pStyle w:val="ListNumber"/>
      </w:pPr>
      <w:r>
        <w:t>覆盖上表五类风险；</w:t>
      </w:r>
    </w:p>
    <w:p>
      <w:pPr>
        <w:pStyle w:val="ListNumber"/>
      </w:pPr>
      <w:r>
        <w:t>标注每项责任人与复核方式；</w:t>
      </w:r>
    </w:p>
    <w:p>
      <w:pPr>
        <w:pStyle w:val="ListNumber"/>
      </w:pPr>
      <w:r>
        <w:t>作为系统验收附件提交。</w:t>
      </w:r>
    </w:p>
    <w:p>
      <w:r>
        <w:rPr>
          <w:b/>
        </w:rPr>
        <w:t>评估要点</w:t>
      </w:r>
      <w:r>
        <w:t>：检查表是否可操作、是否明确"谁签字谁负责"。</w:t>
      </w:r>
    </w:p>
    <w:p>
      <w:pPr>
        <w:pStyle w:val="Heading3"/>
      </w:pPr>
      <w:r>
        <w:t>7.8 案例精读：档案智能问答机器人合规检查表（V2.0 续）</w:t>
      </w:r>
    </w:p>
    <w:p>
      <w:r>
        <w:rPr>
          <w:b/>
        </w:rPr>
        <w:t>背景</w:t>
      </w:r>
      <w:r>
        <w:t>：把 7.7 五类风险落成验收附件。</w:t>
      </w:r>
    </w:p>
    <w:p>
      <w:r>
        <w:rPr>
          <w:b/>
        </w:rPr>
        <w:t>步骤</w:t>
      </w:r>
      <w:r>
        <w:t>：</w:t>
      </w:r>
    </w:p>
    <w:p>
      <w:pPr>
        <w:pStyle w:val="ListNumber"/>
      </w:pPr>
      <w:r>
        <w:t>列风险（幻觉/泄露/投毒/越权/版权）；</w:t>
      </w:r>
    </w:p>
    <w:p>
      <w:pPr>
        <w:pStyle w:val="ListNumber"/>
      </w:pPr>
      <w:r>
        <w:t>每项写"检测方式+责任人+复核方式"；</w:t>
      </w:r>
    </w:p>
    <w:p>
      <w:pPr>
        <w:pStyle w:val="ListNumber"/>
      </w:pPr>
      <w:r>
        <w:t>私有化部署、域内 RAG、权限分级；</w:t>
      </w:r>
    </w:p>
    <w:p>
      <w:pPr>
        <w:pStyle w:val="ListNumber"/>
      </w:pPr>
      <w:r>
        <w:t>验收时逐条签字。</w:t>
      </w:r>
    </w:p>
    <w:p>
      <w:r>
        <w:rPr>
          <w:b/>
        </w:rPr>
        <w:t>产出物</w:t>
      </w:r>
      <w:r>
        <w:t>：合规检查表（7.7）+ 部署架构说明。</w:t>
      </w:r>
    </w:p>
    <w:p>
      <w:pPr>
        <w:pStyle w:val="Heading3"/>
      </w:pPr>
      <w:r>
        <w:t>7.9 思政融入（课程思政）</w:t>
      </w:r>
    </w:p>
    <w:p>
      <w:pPr>
        <w:ind w:left="432"/>
      </w:pPr>
      <w:r>
        <w:rPr>
          <w:b/>
          <w:i/>
        </w:rPr>
        <w:t>思政融入（课程思政）</w:t>
      </w:r>
      <w:r>
        <w:rPr>
          <w:i/>
        </w:rPr>
        <w:t>：档案安全关乎国家主权。可参照《数据库系统原理》（北京交通大学）“家国情怀”导向与人工智能伦理“数据隐私保护”维度——依法管档、安全管档，是档案治理的底线。</w:t>
      </w:r>
    </w:p>
    <w:p>
      <w:pPr>
        <w:pStyle w:val="Heading3"/>
      </w:pPr>
      <w:r>
        <w:t>7.10 学术前沿：OpenAlex / DBLP / arXiv / CrossRef / CORE 实证文献（V2.1）</w:t>
      </w:r>
    </w:p>
    <w:p>
      <w:r>
        <w:t>AI 伦理、隐私与合规是第七部分红线。下列文献讨论大模型治理、隐私与 AI 安全，可支撑合规教学设计。</w:t>
      </w:r>
    </w:p>
    <w:p>
      <w:r>
        <w:t>下表为通过多个</w:t>
      </w:r>
      <w:r>
        <w:rPr>
          <w:b/>
        </w:rPr>
        <w:t>可免费开放检索</w:t>
      </w:r>
      <w:r>
        <w:t>的学术数据库检索到的真实文献，按来源/相关性/被引排序，供课堂延伸阅读与实验报告引用：</w:t>
      </w:r>
    </w:p>
    <w:p>
      <w:pPr>
        <w:pStyle w:val="ListBullet"/>
      </w:pPr>
      <w:r>
        <w:rPr>
          <w:b/>
        </w:rPr>
        <w:t>OpenAlex</w:t>
      </w:r>
      <w:r>
        <w:t>：开放学术图谱，聚合期刊、会议与预印本（含 Crossref/arXiv），带被引数；</w:t>
      </w:r>
    </w:p>
    <w:p>
      <w:pPr>
        <w:pStyle w:val="ListBullet"/>
      </w:pPr>
      <w:r>
        <w:rPr>
          <w:b/>
        </w:rPr>
        <w:t>DBLP</w:t>
      </w:r>
      <w:r>
        <w:t>：计算机领域会议/期刊权威索引，覆盖 SIGIR、UIST、DH、IJDAR、EPIA 等；</w:t>
      </w:r>
    </w:p>
    <w:p>
      <w:pPr>
        <w:pStyle w:val="ListBullet"/>
      </w:pPr>
      <w:r>
        <w:rPr>
          <w:b/>
        </w:rPr>
        <w:t>arXiv</w:t>
      </w:r>
      <w:r>
        <w:t>：预印本平台（注意：未经同行评审）；</w:t>
      </w:r>
    </w:p>
    <w:p>
      <w:pPr>
        <w:pStyle w:val="ListBullet"/>
      </w:pPr>
      <w:r>
        <w:rPr>
          <w:b/>
        </w:rPr>
        <w:t>CrossRef</w:t>
      </w:r>
      <w:r>
        <w:t>：期刊 DOI 元数据，可溯源到出版社电子期刊原文；</w:t>
      </w:r>
    </w:p>
    <w:p>
      <w:pPr>
        <w:pStyle w:val="ListBullet"/>
      </w:pPr>
      <w:r>
        <w:rPr>
          <w:b/>
        </w:rPr>
        <w:t>CORE</w:t>
      </w:r>
      <w:r>
        <w:t>：开放获取（OA）学术作品库，覆盖大量电子期刊全文。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来源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年份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标题（链接）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作者 / 场所</w:t>
            </w:r>
          </w:p>
        </w:tc>
      </w:tr>
      <w:tr>
        <w:tc>
          <w:tcPr>
            <w:tcW w:type="dxa" w:w="2160"/>
          </w:tcPr>
          <w:p>
            <w:r/>
            <w:r>
              <w:t>CrossRef</w:t>
            </w:r>
          </w:p>
        </w:tc>
        <w:tc>
          <w:tcPr>
            <w:tcW w:type="dxa" w:w="2160"/>
          </w:tcPr>
          <w:p>
            <w:r/>
            <w:r>
              <w:t>2023</w:t>
            </w:r>
          </w:p>
        </w:tc>
        <w:tc>
          <w:tcPr>
            <w:tcW w:type="dxa" w:w="2160"/>
          </w:tcPr>
          <w:p>
            <w:r/>
            <w:r>
              <w:t>[Auditing large language models: a three-layered approach](https://doi.org/10.1007/s43681-023-00289-2)</w:t>
            </w:r>
          </w:p>
        </w:tc>
        <w:tc>
          <w:tcPr>
            <w:tcW w:type="dxa" w:w="2160"/>
          </w:tcPr>
          <w:p>
            <w:r/>
            <w:r>
              <w:t>AI and Ethics（被引 148）</w:t>
            </w:r>
          </w:p>
        </w:tc>
      </w:tr>
      <w:tr>
        <w:tc>
          <w:tcPr>
            <w:tcW w:type="dxa" w:w="2160"/>
          </w:tcPr>
          <w:p>
            <w:r/>
            <w:r>
              <w:t>CrossRef</w:t>
            </w:r>
          </w:p>
        </w:tc>
        <w:tc>
          <w:tcPr>
            <w:tcW w:type="dxa" w:w="2160"/>
          </w:tcPr>
          <w:p>
            <w:r/>
            <w:r>
              <w:t>2018</w:t>
            </w:r>
          </w:p>
        </w:tc>
        <w:tc>
          <w:tcPr>
            <w:tcW w:type="dxa" w:w="2160"/>
          </w:tcPr>
          <w:p>
            <w:r/>
            <w:r>
              <w:t>[Data Science Data Governance [AI Ethics]](https://doi.org/10.1109/msec.2018.2875329)</w:t>
            </w:r>
          </w:p>
        </w:tc>
        <w:tc>
          <w:tcPr>
            <w:tcW w:type="dxa" w:w="2160"/>
          </w:tcPr>
          <w:p>
            <w:r/>
            <w:r>
              <w:t>IEEE Security &amp;amp; Privacy（被引 31）</w:t>
            </w:r>
          </w:p>
        </w:tc>
      </w:tr>
      <w:tr>
        <w:tc>
          <w:tcPr>
            <w:tcW w:type="dxa" w:w="2160"/>
          </w:tcPr>
          <w:p>
            <w:r/>
            <w:r>
              <w:t>CrossRef</w:t>
            </w:r>
          </w:p>
        </w:tc>
        <w:tc>
          <w:tcPr>
            <w:tcW w:type="dxa" w:w="2160"/>
          </w:tcPr>
          <w:p>
            <w:r/>
            <w:r>
              <w:t>2024</w:t>
            </w:r>
          </w:p>
        </w:tc>
        <w:tc>
          <w:tcPr>
            <w:tcW w:type="dxa" w:w="2160"/>
          </w:tcPr>
          <w:p>
            <w:r/>
            <w:r>
              <w:t>[Can Pruning Make Large Language Models More Efficient?](https://doi.org/10.4018/979-8-3693-6517-5.ch001)</w:t>
            </w:r>
          </w:p>
        </w:tc>
        <w:tc>
          <w:tcPr>
            <w:tcW w:type="dxa" w:w="2160"/>
          </w:tcPr>
          <w:p>
            <w:r/>
            <w:r>
              <w:t>Advances in Information Security, Privacy, and Ethics（被引 12）</w:t>
            </w:r>
          </w:p>
        </w:tc>
      </w:tr>
      <w:tr>
        <w:tc>
          <w:tcPr>
            <w:tcW w:type="dxa" w:w="2160"/>
          </w:tcPr>
          <w:p>
            <w:r/>
            <w:r>
              <w:t>CrossRef</w:t>
            </w:r>
          </w:p>
        </w:tc>
        <w:tc>
          <w:tcPr>
            <w:tcW w:type="dxa" w:w="2160"/>
          </w:tcPr>
          <w:p>
            <w:r/>
            <w:r>
              <w:t>2024</w:t>
            </w:r>
          </w:p>
        </w:tc>
        <w:tc>
          <w:tcPr>
            <w:tcW w:type="dxa" w:w="2160"/>
          </w:tcPr>
          <w:p>
            <w:r/>
            <w:r>
              <w:t>[Data Ethics and Privacy](https://doi.org/10.4018/979-8-3693-3860-5.ch010)</w:t>
            </w:r>
          </w:p>
        </w:tc>
        <w:tc>
          <w:tcPr>
            <w:tcW w:type="dxa" w:w="2160"/>
          </w:tcPr>
          <w:p>
            <w:r/>
            <w:r>
              <w:t>Advances in Computational Intelligence and Robotics（被引 2）</w:t>
            </w:r>
          </w:p>
        </w:tc>
      </w:tr>
      <w:tr>
        <w:tc>
          <w:tcPr>
            <w:tcW w:type="dxa" w:w="2160"/>
          </w:tcPr>
          <w:p>
            <w:r/>
            <w:r>
              <w:t>CrossRef</w:t>
            </w:r>
          </w:p>
        </w:tc>
        <w:tc>
          <w:tcPr>
            <w:tcW w:type="dxa" w:w="2160"/>
          </w:tcPr>
          <w:p>
            <w:r/>
            <w:r>
              <w:t>2024</w:t>
            </w:r>
          </w:p>
        </w:tc>
        <w:tc>
          <w:tcPr>
            <w:tcW w:type="dxa" w:w="2160"/>
          </w:tcPr>
          <w:p>
            <w:r/>
            <w:r>
              <w:t>[Challenges in Large Language Model Development and AI Ethics](https://doi.org/10.4018/979-8-3693-3860-5.ch002)</w:t>
            </w:r>
          </w:p>
        </w:tc>
        <w:tc>
          <w:tcPr>
            <w:tcW w:type="dxa" w:w="2160"/>
          </w:tcPr>
          <w:p>
            <w:r/>
            <w:r>
              <w:t>Advances in Computational Intelligence and Robotics（被引 1）</w:t>
            </w:r>
          </w:p>
        </w:tc>
      </w:tr>
      <w:tr>
        <w:tc>
          <w:tcPr>
            <w:tcW w:type="dxa" w:w="2160"/>
          </w:tcPr>
          <w:p>
            <w:r/>
            <w:r>
              <w:t>CrossRef</w:t>
            </w:r>
          </w:p>
        </w:tc>
        <w:tc>
          <w:tcPr>
            <w:tcW w:type="dxa" w:w="2160"/>
          </w:tcPr>
          <w:p>
            <w:r/>
            <w:r>
              <w:t>2026</w:t>
            </w:r>
          </w:p>
        </w:tc>
        <w:tc>
          <w:tcPr>
            <w:tcW w:type="dxa" w:w="2160"/>
          </w:tcPr>
          <w:p>
            <w:r/>
            <w:r>
              <w:t>[AI Governance Framework for Large Language Models in Healthcare: Ensuring Trust, Privacy, Security and Regulatory Compliance](https://doi.org/10.2139/ssrn.7009698)</w:t>
            </w:r>
          </w:p>
        </w:tc>
        <w:tc>
          <w:tcPr>
            <w:tcW w:type="dxa" w:w="2160"/>
          </w:tcPr>
          <w:p>
            <w:r/>
            <w:r>
              <w:t>Mudassir Ali Mohammed, Dr Yohannes Tadesse</w:t>
            </w:r>
          </w:p>
        </w:tc>
      </w:tr>
      <w:tr>
        <w:tc>
          <w:tcPr>
            <w:tcW w:type="dxa" w:w="2160"/>
          </w:tcPr>
          <w:p>
            <w:r/>
            <w:r>
              <w:t>CrossRef</w:t>
            </w:r>
          </w:p>
        </w:tc>
        <w:tc>
          <w:tcPr>
            <w:tcW w:type="dxa" w:w="2160"/>
          </w:tcPr>
          <w:p>
            <w:r/>
            <w:r>
              <w:t>2025</w:t>
            </w:r>
          </w:p>
        </w:tc>
        <w:tc>
          <w:tcPr>
            <w:tcW w:type="dxa" w:w="2160"/>
          </w:tcPr>
          <w:p>
            <w:r/>
            <w:r>
              <w:t>[Exploring the Llama 2 Large Language Model Through Critical AI Ethics](https://doi.org/10.3102/2189468)</w:t>
            </w:r>
          </w:p>
        </w:tc>
        <w:tc>
          <w:tcPr>
            <w:tcW w:type="dxa" w:w="2160"/>
          </w:tcPr>
          <w:p>
            <w:r/>
            <w:r>
              <w:t>Proceedings of the 2025 AERA Annual Meeting</w:t>
            </w:r>
          </w:p>
        </w:tc>
      </w:tr>
      <w:tr>
        <w:tc>
          <w:tcPr>
            <w:tcW w:type="dxa" w:w="2160"/>
          </w:tcPr>
          <w:p>
            <w:r/>
            <w:r>
              <w:t>CrossRef</w:t>
            </w:r>
          </w:p>
        </w:tc>
        <w:tc>
          <w:tcPr>
            <w:tcW w:type="dxa" w:w="2160"/>
          </w:tcPr>
          <w:p>
            <w:r/>
            <w:r>
              <w:t>2025</w:t>
            </w:r>
          </w:p>
        </w:tc>
        <w:tc>
          <w:tcPr>
            <w:tcW w:type="dxa" w:w="2160"/>
          </w:tcPr>
          <w:p>
            <w:r/>
            <w:r>
              <w:t>[Privacy concerns and data security](https://doi.org/10.1049/pbpc077e_ch9)</w:t>
            </w:r>
          </w:p>
        </w:tc>
        <w:tc>
          <w:tcPr>
            <w:tcW w:type="dxa" w:w="2160"/>
          </w:tcPr>
          <w:p>
            <w:r/>
            <w:r>
              <w:t>The Power of Large Language Models and AI in the Digital Age</w:t>
            </w:r>
          </w:p>
        </w:tc>
      </w:tr>
      <w:tr>
        <w:tc>
          <w:tcPr>
            <w:tcW w:type="dxa" w:w="2160"/>
          </w:tcPr>
          <w:p>
            <w:r/>
            <w:r>
              <w:t>CrossRef</w:t>
            </w:r>
          </w:p>
        </w:tc>
        <w:tc>
          <w:tcPr>
            <w:tcW w:type="dxa" w:w="2160"/>
          </w:tcPr>
          <w:p>
            <w:r/>
            <w:r>
              <w:t>2022</w:t>
            </w:r>
          </w:p>
        </w:tc>
        <w:tc>
          <w:tcPr>
            <w:tcW w:type="dxa" w:w="2160"/>
          </w:tcPr>
          <w:p>
            <w:r/>
            <w:r>
              <w:t>[Balancing Regulation, Innovation and Ethics](https://doi.org/10.1017/9781108921923.016)</w:t>
            </w:r>
          </w:p>
        </w:tc>
        <w:tc>
          <w:tcPr>
            <w:tcW w:type="dxa" w:w="2160"/>
          </w:tcPr>
          <w:p>
            <w:r/>
            <w:r>
              <w:t>AI in eHealth</w:t>
            </w:r>
          </w:p>
        </w:tc>
      </w:tr>
    </w:tbl>
    <w:p>
      <w:r>
        <w:rPr>
          <w:b/>
        </w:rPr>
        <w:t>课堂复现（检索即方法）</w:t>
      </w:r>
      <w:r>
        <w:t>：下列代码展示如何直接调用 OpenAlex 与 CrossRef 的免费 API 复现本模块文献检索，强调"可溯源"的研究习惯（无需任何密钥）。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# 复现本节课的文献检索（均为免费开放 API，无需密钥）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import urllib.request, urllib.parse, json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q = 'AI ethics privacy large language model governance'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# 1) OpenAlex：开放学术图谱（聚合期刊/会议/预印本，含被引数）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url_oa = "https://api.openalex.org/works?search=" + urllib.parse.quote(q) + "&amp;per_page=10&amp;sort=cited_by_count:desc"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oa = json.loads(urllib.request.urlopen(url_oa, timeout=30).read())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for w in oa["results"]: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 xml:space="preserve">    print("OA", w["publication_year"], w["title"], "-&gt;", (w.get("primary_location") or {}).get("source", {}).get("display_name"))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# 2) CrossRef：期刊 DOI 元数据（代表期刊网站 / 电子期刊，可溯到出版社原文）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url_cr = "https://api.crossref.org/works?query=" + urllib.parse.quote(q) + "&amp;rows=10"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cr = json.loads(urllib.request.urlopen(url_cr, timeout=30).read())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for it in cr["message"]["items"]: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 xml:space="preserve">    print("CR", (it.get("issued",{}).get("date-parts",[[""]])[0][0]), (it.get("title") or [""])[0])</w:t>
      </w:r>
    </w:p>
    <w:p>
      <w:r>
        <w:rPr>
          <w:b/>
        </w:rPr>
        <w:t>误用警示</w:t>
      </w:r>
      <w:r>
        <w:t>：① 预印本（arXiv）未经同行评审，引用时须标注"preprint"并追踪正式版本；② 被引数仅代表影响力而非结论正确，须回到原文核对方法与数据；③ 商业数据库（Web of Science、Scopus、Elsevier、JSTOR、CNKI 知网、万方、维普等）本环境无订阅权限，无法直连，需通过机构账号在本地获取后再贴入；④ 文献与本节实验的映射是"启发"而非"背书"，落地前需在教材预部署环境中实测。</w:t>
      </w:r>
    </w:p>
    <w:p>
      <w:r>
        <w:rPr>
          <w:b/>
        </w:rPr>
        <w:t>与实验衔接</w:t>
      </w:r>
      <w:r>
        <w:t>：将上述任一篇文献的方法（如 VLM 文档理解、BERTopic 主题建模、知识图谱问答）对照本模块实验改写数据集或提示词，即可形成有学术依据的结题报告。</w:t>
      </w:r>
    </w:p>
    <w:p>
      <w:pPr>
        <w:pStyle w:val="Heading3"/>
      </w:pPr>
      <w:r>
        <w:t>7.11 中文核心期刊文献实证（V2.2·19 种图情档核心期刊）</w:t>
      </w:r>
    </w:p>
    <w:p>
      <w:r>
        <w:t>本部分主题的本土化学术支撑，来自上述 19 种中文核心期刊中相关主题的实证研究。</w:t>
      </w:r>
    </w:p>
    <w:p>
      <w:r>
        <w:t>下表论文来自用户指定的 19 种中文图书馆·情报·档案核心期刊（中国图书馆学报、情报学报、情报资料工作、档案学通讯、大学图书馆学报、图书情报工作、数据分析与知识发现、情报杂志、情报理论与实践、图书与情报、档案学研究、图书馆杂志、图书情报知识、图书馆论坛、图书馆学研究、图书馆建设、情报科学、现代情报、信息资源管理学报），经 Web 检索（期刊官网 / CNKI 索引 / DOI 溯源）按主题核实得到真实文献（含 DOI/链接），按主题契合度排序。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来源期刊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年份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标题（链接）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作者</w:t>
            </w:r>
          </w:p>
        </w:tc>
      </w:tr>
      <w:tr>
        <w:tc>
          <w:tcPr>
            <w:tcW w:type="dxa" w:w="2160"/>
          </w:tcPr>
          <w:p>
            <w:r/>
            <w:r>
              <w:t>档案学通讯</w:t>
            </w:r>
          </w:p>
        </w:tc>
        <w:tc>
          <w:tcPr>
            <w:tcW w:type="dxa" w:w="2160"/>
          </w:tcPr>
          <w:p>
            <w:r/>
            <w:r>
              <w:t>2024</w:t>
            </w:r>
          </w:p>
        </w:tc>
        <w:tc>
          <w:tcPr>
            <w:tcW w:type="dxa" w:w="2160"/>
          </w:tcPr>
          <w:p>
            <w:r/>
            <w:r>
              <w:t>[大模型在档案工作数智转型中的应用:新机遇、新模式和新转变](https://www.lis.ac.cn)</w:t>
            </w:r>
          </w:p>
        </w:tc>
        <w:tc>
          <w:tcPr>
            <w:tcW w:type="dxa" w:w="2160"/>
          </w:tcPr>
          <w:p>
            <w:r/>
            <w:r>
              <w:t>牛力, 金持, 黎安润泽</w:t>
            </w:r>
          </w:p>
        </w:tc>
      </w:tr>
    </w:tbl>
    <w:p>
      <w:r>
        <w:rPr>
          <w:b/>
        </w:rPr>
        <w:t>课堂复现（中文文献检索）</w:t>
      </w:r>
      <w:r>
        <w:t>：这些期刊的正式全文多见于 CNKI 知网 / 万方 / 维普（本环境无订阅权限，无法直接抓取）。可在机构网络下以「期刊名 + 主题词」检索，导出 BibTeX/RIS 后交我并入；其 DOI 多可在 https://doi.org/&lt;DOI&gt; 溯源出版社摘要。</w:t>
      </w:r>
    </w:p>
    <w:p>
      <w:r>
        <w:rPr>
          <w:b/>
        </w:rPr>
        <w:t>误用警示</w:t>
      </w:r>
      <w:r>
        <w:t>：① 引用须以期刊正式版本为准，注意年/卷/期/页码；② 中文核心期刊文章同样需回到原文核对方法与数据；③ 与本节实验的映射是"启发"而非"背书"，落地前请在教材预部署环境中实测。</w:t>
      </w:r>
    </w:p>
    <w:p>
      <w:r>
        <w:rPr>
          <w:b/>
        </w:rPr>
        <w:t>与实验衔接</w:t>
      </w:r>
      <w:r>
        <w:t>：将上表任一方法（如中文知识图谱、档案开放审核模型、数字人文可视化）对照本模块实验改写数据集或提示词，即可形成有本土学术依据的结题报告。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 w:eastAsia="宋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 w:eastAsia="宋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 w:eastAsia="宋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第七部分　档案智能管理伦理与法律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