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主题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核心能力</w:t>
            </w:r>
          </w:p>
        </w:tc>
      </w:tr>
      <w:tr>
        <w:tc>
          <w:tcPr>
            <w:tcW w:type="dxa" w:w="2880"/>
          </w:tcPr>
          <w:p>
            <w:r/>
            <w:r>
              <w:t>一</w:t>
            </w:r>
          </w:p>
        </w:tc>
        <w:tc>
          <w:tcPr>
            <w:tcW w:type="dxa" w:w="2880"/>
          </w:tcPr>
          <w:p>
            <w:r/>
            <w:r>
              <w:t>导论：当数据科学遇见数字人文</w:t>
            </w:r>
          </w:p>
        </w:tc>
        <w:tc>
          <w:tcPr>
            <w:tcW w:type="dxa" w:w="2880"/>
          </w:tcPr>
          <w:p>
            <w:r/>
            <w:r>
              <w:t>建立范式与伦理坐标</w:t>
            </w:r>
          </w:p>
        </w:tc>
      </w:tr>
      <w:tr>
        <w:tc>
          <w:tcPr>
            <w:tcW w:type="dxa" w:w="2880"/>
          </w:tcPr>
          <w:p>
            <w:r/>
            <w:r>
              <w:t>二</w:t>
            </w:r>
          </w:p>
        </w:tc>
        <w:tc>
          <w:tcPr>
            <w:tcW w:type="dxa" w:w="2880"/>
          </w:tcPr>
          <w:p>
            <w:r/>
            <w:r>
              <w:t>人文数据的类型与获取</w:t>
            </w:r>
          </w:p>
        </w:tc>
        <w:tc>
          <w:tcPr>
            <w:tcW w:type="dxa" w:w="2880"/>
          </w:tcPr>
          <w:p>
            <w:r/>
            <w:r>
              <w:t>数据素养、获取与合规</w:t>
            </w:r>
          </w:p>
        </w:tc>
      </w:tr>
      <w:tr>
        <w:tc>
          <w:tcPr>
            <w:tcW w:type="dxa" w:w="2880"/>
          </w:tcPr>
          <w:p>
            <w:r/>
            <w:r>
              <w:t>三</w:t>
            </w:r>
          </w:p>
        </w:tc>
        <w:tc>
          <w:tcPr>
            <w:tcW w:type="dxa" w:w="2880"/>
          </w:tcPr>
          <w:p>
            <w:r/>
            <w:r>
              <w:t>数据处理基础：Python 与 pandas</w:t>
            </w:r>
          </w:p>
        </w:tc>
        <w:tc>
          <w:tcPr>
            <w:tcW w:type="dxa" w:w="2880"/>
          </w:tcPr>
          <w:p>
            <w:r/>
            <w:r>
              <w:t>可复现的数据流水线</w:t>
            </w:r>
          </w:p>
        </w:tc>
      </w:tr>
      <w:tr>
        <w:tc>
          <w:tcPr>
            <w:tcW w:type="dxa" w:w="2880"/>
          </w:tcPr>
          <w:p>
            <w:r/>
            <w:r>
              <w:t>四</w:t>
            </w:r>
          </w:p>
        </w:tc>
        <w:tc>
          <w:tcPr>
            <w:tcW w:type="dxa" w:w="2880"/>
          </w:tcPr>
          <w:p>
            <w:r/>
            <w:r>
              <w:t>文本挖掘与 NLP</w:t>
            </w:r>
          </w:p>
        </w:tc>
        <w:tc>
          <w:tcPr>
            <w:tcW w:type="dxa" w:w="2880"/>
          </w:tcPr>
          <w:p>
            <w:r/>
            <w:r>
              <w:t>中文分词、NER、主题模型</w:t>
            </w:r>
          </w:p>
        </w:tc>
      </w:tr>
      <w:tr>
        <w:tc>
          <w:tcPr>
            <w:tcW w:type="dxa" w:w="2880"/>
          </w:tcPr>
          <w:p>
            <w:r/>
            <w:r>
              <w:t>五</w:t>
            </w:r>
          </w:p>
        </w:tc>
        <w:tc>
          <w:tcPr>
            <w:tcW w:type="dxa" w:w="2880"/>
          </w:tcPr>
          <w:p>
            <w:r/>
            <w:r>
              <w:t>数据可视化与视觉修辞</w:t>
            </w:r>
          </w:p>
        </w:tc>
        <w:tc>
          <w:tcPr>
            <w:tcW w:type="dxa" w:w="2880"/>
          </w:tcPr>
          <w:p>
            <w:r/>
            <w:r>
              <w:t>图表立场与叙事</w:t>
            </w:r>
          </w:p>
        </w:tc>
      </w:tr>
      <w:tr>
        <w:tc>
          <w:tcPr>
            <w:tcW w:type="dxa" w:w="2880"/>
          </w:tcPr>
          <w:p>
            <w:r/>
            <w:r>
              <w:t>六</w:t>
            </w:r>
          </w:p>
        </w:tc>
        <w:tc>
          <w:tcPr>
            <w:tcW w:type="dxa" w:w="2880"/>
          </w:tcPr>
          <w:p>
            <w:r/>
            <w:r>
              <w:t>社会网络分析</w:t>
            </w:r>
          </w:p>
        </w:tc>
        <w:tc>
          <w:tcPr>
            <w:tcW w:type="dxa" w:w="2880"/>
          </w:tcPr>
          <w:p>
            <w:r/>
            <w:r>
              <w:t>关系→结构</w:t>
            </w:r>
          </w:p>
        </w:tc>
      </w:tr>
      <w:tr>
        <w:tc>
          <w:tcPr>
            <w:tcW w:type="dxa" w:w="2880"/>
          </w:tcPr>
          <w:p>
            <w:r/>
            <w:r>
              <w:t>七</w:t>
            </w:r>
          </w:p>
        </w:tc>
        <w:tc>
          <w:tcPr>
            <w:tcW w:type="dxa" w:w="2880"/>
          </w:tcPr>
          <w:p>
            <w:r/>
            <w:r>
              <w:t>空间人文与 GIS</w:t>
            </w:r>
          </w:p>
        </w:tc>
        <w:tc>
          <w:tcPr>
            <w:tcW w:type="dxa" w:w="2880"/>
          </w:tcPr>
          <w:p>
            <w:r/>
            <w:r>
              <w:t>地理编码与时空分析</w:t>
            </w:r>
          </w:p>
        </w:tc>
      </w:tr>
      <w:tr>
        <w:tc>
          <w:tcPr>
            <w:tcW w:type="dxa" w:w="2880"/>
          </w:tcPr>
          <w:p>
            <w:r/>
            <w:r>
              <w:t>八</w:t>
            </w:r>
          </w:p>
        </w:tc>
        <w:tc>
          <w:tcPr>
            <w:tcW w:type="dxa" w:w="2880"/>
          </w:tcPr>
          <w:p>
            <w:r/>
            <w:r>
              <w:t>图像处理与计算机视觉</w:t>
            </w:r>
          </w:p>
        </w:tc>
        <w:tc>
          <w:tcPr>
            <w:tcW w:type="dxa" w:w="2880"/>
          </w:tcPr>
          <w:p>
            <w:r/>
            <w:r>
              <w:t>OCR、VLM、文化遗产</w:t>
            </w:r>
          </w:p>
        </w:tc>
      </w:tr>
      <w:tr>
        <w:tc>
          <w:tcPr>
            <w:tcW w:type="dxa" w:w="2880"/>
          </w:tcPr>
          <w:p>
            <w:r/>
            <w:r>
              <w:t>九</w:t>
            </w:r>
          </w:p>
        </w:tc>
        <w:tc>
          <w:tcPr>
            <w:tcW w:type="dxa" w:w="2880"/>
          </w:tcPr>
          <w:p>
            <w:r/>
            <w:r>
              <w:t>知识图谱与语义技术</w:t>
            </w:r>
          </w:p>
        </w:tc>
        <w:tc>
          <w:tcPr>
            <w:tcW w:type="dxa" w:w="2880"/>
          </w:tcPr>
          <w:p>
            <w:r/>
            <w:r>
              <w:t>本体、抽取、GraphRAG</w:t>
            </w:r>
          </w:p>
        </w:tc>
      </w:tr>
      <w:tr>
        <w:tc>
          <w:tcPr>
            <w:tcW w:type="dxa" w:w="2880"/>
          </w:tcPr>
          <w:p>
            <w:r/>
            <w:r>
              <w:t>十</w:t>
            </w:r>
          </w:p>
        </w:tc>
        <w:tc>
          <w:tcPr>
            <w:tcW w:type="dxa" w:w="2880"/>
          </w:tcPr>
          <w:p>
            <w:r/>
            <w:r>
              <w:t>机器学习与深度学习基础</w:t>
            </w:r>
          </w:p>
        </w:tc>
        <w:tc>
          <w:tcPr>
            <w:tcW w:type="dxa" w:w="2880"/>
          </w:tcPr>
          <w:p>
            <w:r/>
            <w:r>
              <w:t>监督/无监督/评估</w:t>
            </w:r>
          </w:p>
        </w:tc>
      </w:tr>
      <w:tr>
        <w:tc>
          <w:tcPr>
            <w:tcW w:type="dxa" w:w="2880"/>
          </w:tcPr>
          <w:p>
            <w:r/>
            <w:r>
              <w:t>十一</w:t>
            </w:r>
          </w:p>
        </w:tc>
        <w:tc>
          <w:tcPr>
            <w:tcW w:type="dxa" w:w="2880"/>
          </w:tcPr>
          <w:p>
            <w:r/>
            <w:r>
              <w:t>大语言模型与生成式 AI</w:t>
            </w:r>
          </w:p>
        </w:tc>
        <w:tc>
          <w:tcPr>
            <w:tcW w:type="dxa" w:w="2880"/>
          </w:tcPr>
          <w:p>
            <w:r/>
            <w:r>
              <w:t>提示、RAG、智能体</w:t>
            </w:r>
          </w:p>
        </w:tc>
      </w:tr>
      <w:tr>
        <w:tc>
          <w:tcPr>
            <w:tcW w:type="dxa" w:w="2880"/>
          </w:tcPr>
          <w:p>
            <w:r/>
            <w:r>
              <w:t>综合</w:t>
            </w:r>
          </w:p>
        </w:tc>
        <w:tc>
          <w:tcPr>
            <w:tcW w:type="dxa" w:w="2880"/>
          </w:tcPr>
          <w:p>
            <w:r/>
            <w:r>
              <w:t>综合项目与课程反思</w:t>
            </w:r>
          </w:p>
        </w:tc>
        <w:tc>
          <w:tcPr>
            <w:tcW w:type="dxa" w:w="2880"/>
          </w:tcPr>
          <w:p>
            <w:r/>
            <w:r>
              <w:t>方法闭环 + 伦理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教材总体结构（11 模块 + 综合项目）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