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：完成本模块后，你应能（1）区分描述性图表与叙事性可视化；（2）说出视觉修辞的三要素（路径/视角/色彩）；（3）用 pandas/matplotlib 画一张"有标注、可解释"的人文图；（4）识别至少三种常见的可视化误导手法。</w:t>
      </w:r>
    </w:p>
    <w:p>
      <w:pPr>
        <w:pStyle w:val="Heading3"/>
      </w:pPr>
      <w:r>
        <w:t>5.1 图从来不是中立的</w:t>
      </w:r>
    </w:p>
    <w:p>
      <w:r>
        <w:t>一张图选了什么、省略了什么、用什么尺度，都在替观众做判断。人文图表尤其要警惕：把千年的变迁画成一条平滑上升线，本身就在讲述一个"进步叙事"。可视化是</w:t>
      </w:r>
      <w:r>
        <w:rPr>
          <w:b/>
        </w:rPr>
        <w:t>论证</w:t>
      </w:r>
      <w:r>
        <w:t>，不是装饰。</w:t>
      </w:r>
    </w:p>
    <w:p>
      <w:pPr>
        <w:pStyle w:val="Heading3"/>
      </w:pPr>
      <w:r>
        <w:t>5.2 基础图表：折线、柱状、地图、网络</w:t>
      </w:r>
    </w:p>
    <w:p>
      <w:pPr>
        <w:pStyle w:val="ListBullet"/>
      </w:pPr>
      <w:r>
        <w:rPr>
          <w:b/>
        </w:rPr>
        <w:t>折线</w:t>
      </w:r>
      <w:r>
        <w:t>：随时间的变化（某灾害年表）；</w:t>
      </w:r>
    </w:p>
    <w:p>
      <w:pPr>
        <w:pStyle w:val="ListBullet"/>
      </w:pPr>
      <w:r>
        <w:rPr>
          <w:b/>
        </w:rPr>
        <w:t>柱状</w:t>
      </w:r>
      <w:r>
        <w:t>：类别间的比较（各书院藏书量）；</w:t>
      </w:r>
    </w:p>
    <w:p>
      <w:pPr>
        <w:pStyle w:val="ListBullet"/>
      </w:pPr>
      <w:r>
        <w:rPr>
          <w:b/>
        </w:rPr>
        <w:t>地图</w:t>
      </w:r>
      <w:r>
        <w:t>：空间分布（模块七详述）；</w:t>
      </w:r>
    </w:p>
    <w:p>
      <w:pPr>
        <w:pStyle w:val="ListBullet"/>
      </w:pPr>
      <w:r>
        <w:rPr>
          <w:b/>
        </w:rPr>
        <w:t>网络</w:t>
      </w:r>
      <w:r>
        <w:t>：关系结构（模块六详述）。</w:t>
      </w:r>
    </w:p>
    <w:p>
      <w:r>
        <w:t xml:space="preserve">pandas 一行 </w:t>
      </w:r>
      <w:r>
        <w:rPr>
          <w:rFonts w:ascii="Consolas" w:hAnsi="Consolas" w:eastAsia="宋体"/>
          <w:sz w:val="18"/>
        </w:rPr>
        <w:t>df.plot()</w:t>
      </w:r>
      <w:r>
        <w:t xml:space="preserve"> 即可出图，但"出图"离"说清"还差一步——标注与修辞。</w:t>
      </w:r>
    </w:p>
    <w:p>
      <w:pPr>
        <w:pStyle w:val="Heading3"/>
      </w:pPr>
      <w:r>
        <w:t>5.3 叙事可视化与 framing</w:t>
      </w:r>
    </w:p>
    <w:p>
      <w:r>
        <w:t>Narrative Visualization（叙事可视化）把图表组织成"有顺序、有重点"的故事（见本模块 V2.1 的 *Visualization Rhetoric: Framing Effects in Narrative Visualization*）。</w:t>
      </w:r>
      <w:r>
        <w:rPr>
          <w:b/>
        </w:rPr>
        <w:t>framing（框定）</w:t>
      </w:r>
      <w:r>
        <w:t xml:space="preserve"> 决定观众先看什么：先放总体趋势再钻细节，和先抛异常再回溯，结论感完全不同。</w:t>
      </w:r>
    </w:p>
    <w:p>
      <w:pPr>
        <w:pStyle w:val="Heading3"/>
      </w:pPr>
      <w:r>
        <w:t>5.4 视觉修辞三要素：路径、视角、色彩</w:t>
      </w:r>
    </w:p>
    <w:p>
      <w:pPr>
        <w:pStyle w:val="ListBullet"/>
      </w:pPr>
      <w:r>
        <w:rPr>
          <w:b/>
        </w:rPr>
        <w:t>路径（Path）</w:t>
      </w:r>
      <w:r>
        <w:t>：用滚动、高亮、注释引导视线顺序；</w:t>
      </w:r>
    </w:p>
    <w:p>
      <w:pPr>
        <w:pStyle w:val="ListBullet"/>
      </w:pPr>
      <w:r>
        <w:rPr>
          <w:b/>
        </w:rPr>
        <w:t>视角（Pathos）</w:t>
      </w:r>
      <w:r>
        <w:t>：用隐喻与情绪打动人（如用"伤痕地图"呈现战争）；</w:t>
      </w:r>
    </w:p>
    <w:p>
      <w:pPr>
        <w:pStyle w:val="ListBullet"/>
      </w:pPr>
      <w:r>
        <w:rPr>
          <w:b/>
        </w:rPr>
        <w:t>色彩（色彩即立场）</w:t>
      </w:r>
      <w:r>
        <w:t>：红=危险？暖=古老？色板本身带文化预设（见 V2.1 的 *Untangling Rhetoric, Pathos, and Aesthetics in Data Visualization*、*Data Visualization as Cultural Rhetoric*）。</w:t>
      </w:r>
    </w:p>
    <w:p>
      <w:pPr>
        <w:pStyle w:val="Heading3"/>
      </w:pPr>
      <w:r>
        <w:t>5.5 人文图表的设计准则</w:t>
      </w:r>
    </w:p>
    <w:p>
      <w:pPr>
        <w:pStyle w:val="ListBullet"/>
      </w:pPr>
      <w:r>
        <w:rPr>
          <w:b/>
        </w:rPr>
        <w:t>留白</w:t>
      </w:r>
      <w:r>
        <w:t>：别把图塞满，给"读"留呼吸；</w:t>
      </w:r>
    </w:p>
    <w:p>
      <w:pPr>
        <w:pStyle w:val="ListBullet"/>
      </w:pPr>
      <w:r>
        <w:rPr>
          <w:b/>
        </w:rPr>
        <w:t>标注</w:t>
      </w:r>
      <w:r>
        <w:t>：关键拐点写一句"这里发生了什么"，而非只给坐标轴；</w:t>
      </w:r>
    </w:p>
    <w:p>
      <w:pPr>
        <w:pStyle w:val="ListBullet"/>
      </w:pPr>
      <w:r>
        <w:rPr>
          <w:b/>
        </w:rPr>
        <w:t>呈现不确定性</w:t>
      </w:r>
      <w:r>
        <w:t>：估算区间用阴影而非单线，诚实比好看重要。</w:t>
      </w:r>
    </w:p>
    <w:p>
      <w:pPr>
        <w:pStyle w:val="Heading3"/>
      </w:pPr>
      <w:r>
        <w:t>5.6 伦理坐标：误导与操控的红线（本模块核心能力）</w:t>
      </w:r>
    </w:p>
    <w:p>
      <w:pPr>
        <w:pStyle w:val="ListBullet"/>
      </w:pPr>
      <w:r>
        <w:rPr>
          <w:b/>
        </w:rPr>
        <w:t>截断轴</w:t>
      </w:r>
      <w:r>
        <w:t>：纵轴不从 0 起，小差异被放大成"巨变"；</w:t>
      </w:r>
    </w:p>
    <w:p>
      <w:pPr>
        <w:pStyle w:val="ListBullet"/>
      </w:pPr>
      <w:r>
        <w:rPr>
          <w:b/>
        </w:rPr>
        <w:t>双轴陷阱</w:t>
      </w:r>
      <w:r>
        <w:t>：两个量纲不同的序列共用一张图，强行制造"相关性"；</w:t>
      </w:r>
    </w:p>
    <w:p>
      <w:pPr>
        <w:pStyle w:val="ListBullet"/>
      </w:pPr>
      <w:r>
        <w:rPr>
          <w:b/>
        </w:rPr>
        <w:t>因果暗示</w:t>
      </w:r>
      <w:r>
        <w:t>：相关被画成因果，时间先后被说成因果；</w:t>
      </w:r>
    </w:p>
    <w:p>
      <w:pPr>
        <w:pStyle w:val="ListBullet"/>
      </w:pPr>
      <w:r>
        <w:rPr>
          <w:b/>
        </w:rPr>
        <w:t>选择性呈现</w:t>
      </w:r>
      <w:r>
        <w:t>：只画支持结论的年份/群体。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：不为"让结论更震撼"而改动坐标轴、省略不利数据或暗示因果。图是论证，造假图等于造假论证。</w:t>
      </w:r>
    </w:p>
    <w:p>
      <w:pPr>
        <w:pStyle w:val="Heading3"/>
      </w:pPr>
      <w:r>
        <w:t>5.7 第一次动手：画一张"有标注"的图</w:t>
      </w:r>
    </w:p>
    <w:p>
      <w:pPr>
        <w:ind w:left="432"/>
      </w:pPr>
      <w:r>
        <w:rPr>
          <w:b/>
          <w:i/>
        </w:rPr>
        <w:t>小练习 5.1（视觉修辞）</w:t>
      </w:r>
      <w:r>
        <w:rPr>
          <w:i/>
        </w:rPr>
        <w:t>：用模块三清洗好的 CSV，画一张折线或柱状图，要求：① 纵轴从 0 起；② 至少一个拐点配一句文字标注；③ 用色彩区分两组但说明色板含义；④ 在图下写一段"我想让观众先看到什么"。本模块 V2.2 的《事件驱动的数据可视化交互设计：基于"数据叙事"的探索和实践》提供"数据叙事"的设计思路，可对照检查你的叙事顺序是否合理。</w:t>
      </w:r>
    </w:p>
    <w:p>
      <w:pPr>
        <w:pStyle w:val="Heading3"/>
      </w:pPr>
      <w:r>
        <w:t>5.8 第二次动手：用同一数据画“两张相反的图”</w:t>
      </w:r>
    </w:p>
    <w:p>
      <w:pPr>
        <w:pStyle w:val="ListBullet"/>
      </w:pPr>
      <w:r>
        <w:rPr>
          <w:b/>
        </w:rPr>
        <w:t>目标</w:t>
      </w:r>
      <w:r>
        <w:t>：体会可视化的 framing——同一份数据，换坐标轴 / 口径能讲相反故事。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取一份含对比的数据（如各省档案开放数量）；</w:t>
      </w:r>
    </w:p>
    <w:p>
      <w:pPr>
        <w:pStyle w:val="ListBullet"/>
      </w:pPr>
      <w:r>
        <w:t>画 A 图突出“差距在拉大”；</w:t>
      </w:r>
    </w:p>
    <w:p>
      <w:pPr>
        <w:pStyle w:val="ListBullet"/>
      </w:pPr>
      <w:r>
        <w:t>画 B 图突出“整体在提升”；</w:t>
      </w:r>
    </w:p>
    <w:p>
      <w:pPr>
        <w:pStyle w:val="ListBullet"/>
      </w:pPr>
      <w:r>
        <w:t>标出你各自改了哪三个视觉参数；</w:t>
      </w:r>
    </w:p>
    <w:p>
      <w:pPr>
        <w:pStyle w:val="ListBullet"/>
      </w:pPr>
      <w:r>
        <w:t>写反思：哪种更诚实。</w:t>
      </w:r>
    </w:p>
    <w:p>
      <w:pPr>
        <w:pStyle w:val="ListBullet"/>
      </w:pPr>
      <w:r>
        <w:rPr>
          <w:b/>
        </w:rPr>
        <w:t>工具</w:t>
      </w:r>
      <w:r>
        <w:t>：matplotlib 或任意绘图工具。</w:t>
      </w:r>
    </w:p>
    <w:p>
      <w:pPr>
        <w:pStyle w:val="ListBullet"/>
      </w:pPr>
      <w:r>
        <w:rPr>
          <w:b/>
        </w:rPr>
        <w:t>产出</w:t>
      </w:r>
      <w:r>
        <w:t>：A、B 两图 + 参数清单 + 反思。</w:t>
      </w:r>
    </w:p>
    <w:p>
      <w:pPr>
        <w:pStyle w:val="ListBullet"/>
      </w:pPr>
      <w:r>
        <w:rPr>
          <w:b/>
        </w:rPr>
        <w:t>评价量规</w:t>
      </w:r>
      <w:r>
        <w:t>：两图可运行（30%）、参数标注清楚（30%）、伦理反思到位（40%）。</w:t>
      </w:r>
    </w:p>
    <w:p>
      <w:pPr>
        <w:pStyle w:val="Heading3"/>
      </w:pPr>
      <w:r>
        <w:t>5.9 本章小结</w:t>
      </w:r>
    </w:p>
    <w:p>
      <w:r>
        <w:t>带走三件事：</w:t>
      </w:r>
      <w:r>
        <w:rPr>
          <w:b/>
        </w:rPr>
        <w:t>图非中立</w:t>
      </w:r>
      <w:r>
        <w:t>（可视化是论证）、</w:t>
      </w:r>
      <w:r>
        <w:rPr>
          <w:b/>
        </w:rPr>
        <w:t>修辞三要素</w:t>
      </w:r>
      <w:r>
        <w:t>（路径/视角/色彩）、</w:t>
      </w:r>
      <w:r>
        <w:rPr>
          <w:b/>
        </w:rPr>
        <w:t>误导红线</w:t>
      </w:r>
      <w:r>
        <w:t>（截断轴/双轴/因果暗示/选择性呈现）。好的人文图表，让人"看见"也让人"质疑"。</w:t>
      </w:r>
    </w:p>
    <w:p>
      <w:pPr>
        <w:pStyle w:val="Heading3"/>
      </w:pPr>
      <w:r>
        <w:t>5.10 思考题</w:t>
      </w:r>
    </w:p>
    <w:p>
      <w:pPr>
        <w:pStyle w:val="ListNumber"/>
      </w:pPr>
      <w:r>
        <w:t>找一张你领域里"看似专业"的图，用 5.6 的红线检查它有没有误导手法？</w:t>
      </w:r>
    </w:p>
    <w:p>
      <w:pPr>
        <w:pStyle w:val="ListNumber"/>
      </w:pPr>
      <w:r>
        <w:t>"色彩即立场"——如果你用红色表示"衰落"、绿色表示"兴盛"，这背后藏着什么价值观预设？</w:t>
      </w:r>
    </w:p>
    <w:p>
      <w:pPr>
        <w:pStyle w:val="ListNumber"/>
      </w:pPr>
      <w:r>
        <w:t>叙事可视化引导视线，会不会剥夺观众自己发现的能力？如何在"引导"与"留白"间平衡？</w:t>
      </w:r>
    </w:p>
    <w:p>
      <w:pPr>
        <w:pStyle w:val="Heading3"/>
      </w:pPr>
      <w:r>
        <w:t>5.11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：可视化是“讲好中国故事”的有力语言。一张诚实而克制的历史图表，能让世界看见真实的中国变迁；反之，被操控的图会扭曲认知。你笔下的每一幅图，都关乎</w:t>
      </w:r>
      <w:r>
        <w:rPr>
          <w:b/>
          <w:i/>
        </w:rPr>
        <w:t>中国叙事的真实性</w:t>
      </w:r>
      <w:r>
        <w:rPr>
          <w:i/>
        </w:rPr>
        <w:t>——用可视化的力量呈现中华文明的连续与包容，拒绝误导与偏见。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：可参照“人工智能赋能大思政课”（宫长瑞）“内容为王，技术为用”的原则——图首先要真实、有立场，技术只是呈现的工具。</w:t>
      </w:r>
    </w:p>
    <w:p>
      <w:pPr>
        <w:pStyle w:val="Heading3"/>
      </w:pPr>
      <w:r>
        <w:t>模块五·学术前沿：OpenAlex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2011</w:t>
            </w:r>
          </w:p>
        </w:tc>
        <w:tc>
          <w:tcPr>
            <w:tcW w:type="dxa" w:w="2160"/>
          </w:tcPr>
          <w:p>
            <w:r/>
            <w:r>
              <w:t>[Visualization Rhetoric: Framing Effects in Narrative Visualization](https://doi.org/10.1109/tvcg.2011.255)</w:t>
            </w:r>
          </w:p>
        </w:tc>
        <w:tc>
          <w:tcPr>
            <w:tcW w:type="dxa" w:w="2160"/>
          </w:tcPr>
          <w:p>
            <w:r/>
            <w:r>
              <w:t>IEEE Transactions on Visualization and Computer Graphics（被引 394）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2020</w:t>
            </w:r>
          </w:p>
        </w:tc>
        <w:tc>
          <w:tcPr>
            <w:tcW w:type="dxa" w:w="2160"/>
          </w:tcPr>
          <w:p>
            <w:r/>
            <w:r>
              <w:t>[Novel Circular Graph Capabilities for Comprehensive Visual Analytics of Interconnected Data in Digital Humanities](https://doi.org/10.26583/sv.12.4.06)</w:t>
            </w:r>
          </w:p>
        </w:tc>
        <w:tc>
          <w:tcPr>
            <w:tcW w:type="dxa" w:w="2160"/>
          </w:tcPr>
          <w:p>
            <w:r/>
            <w:r>
              <w:t>Scientific Visualization（被引 4）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2013</w:t>
            </w:r>
          </w:p>
        </w:tc>
        <w:tc>
          <w:tcPr>
            <w:tcW w:type="dxa" w:w="2160"/>
          </w:tcPr>
          <w:p>
            <w:r/>
            <w:r>
              <w:t>[Visualization and rhetoric: Key concerns for utilizing big data in humanities research: A case study of vaccination discourses: 1918-1919](https://doi.org/10.1109/bigdata.2013.6691666)</w:t>
            </w:r>
          </w:p>
        </w:tc>
        <w:tc>
          <w:tcPr>
            <w:tcW w:type="dxa" w:w="2160"/>
          </w:tcPr>
          <w:p>
            <w:r/>
            <w:r>
              <w:t>2013 IEEE International Conference on Big Data（被引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[Untangling Rhetoric, Pathos, and Aesthetics in Data Visualization](https://doi.org/10.1109/tvcg.2025.3628181)</w:t>
            </w:r>
          </w:p>
        </w:tc>
        <w:tc>
          <w:tcPr>
            <w:tcW w:type="dxa" w:w="2160"/>
          </w:tcPr>
          <w:p>
            <w:r/>
            <w:r>
              <w:t>IEEE Transactions on Visualization and Computer Graphics（被引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[Data Visualization as Cultural Rhetoric: Persuasion, Uncertainty, and Trust](https://doi.org/10.59298/idosrjah/2025/121110000)</w:t>
            </w:r>
          </w:p>
        </w:tc>
        <w:tc>
          <w:tcPr>
            <w:tcW w:type="dxa" w:w="2160"/>
          </w:tcPr>
          <w:p>
            <w:r/>
            <w:r>
              <w:t>IDOSR JOURNAL OF ARTS AND HUMANITIES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2015</w:t>
            </w:r>
          </w:p>
        </w:tc>
        <w:tc>
          <w:tcPr>
            <w:tcW w:type="dxa" w:w="2160"/>
          </w:tcPr>
          <w:p>
            <w:r/>
            <w:r>
              <w:t>[Visual Design: Exploring Data Visualization in Neuroimaging](https://doi.org/10.18737/0607511234)</w:t>
            </w:r>
          </w:p>
        </w:tc>
        <w:tc>
          <w:tcPr>
            <w:tcW w:type="dxa" w:w="2160"/>
          </w:tcPr>
          <w:p>
            <w:r/>
            <w:r>
              <w:t>The Journal of Humanities in Rehabilitation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[Reimagining Representational Codes in Data Visualization:](https://doi.org/10.2307/jj.17681834.11)</w:t>
            </w:r>
          </w:p>
        </w:tc>
        <w:tc>
          <w:tcPr>
            <w:tcW w:type="dxa" w:w="2160"/>
          </w:tcPr>
          <w:p>
            <w:r/>
            <w:r>
              <w:t>Future Horizons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[GraphEidos: A Dataset of Visual Rhetoric in Digital Humanities](https://doi.org/10.5334/johd.331)</w:t>
            </w:r>
          </w:p>
        </w:tc>
        <w:tc>
          <w:tcPr>
            <w:tcW w:type="dxa" w:w="2160"/>
          </w:tcPr>
          <w:p>
            <w:r/>
            <w:r>
              <w:t>Journal of Open Humanities Data</w:t>
            </w:r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p>
      <w:pPr>
        <w:pStyle w:val="Heading3"/>
      </w:pPr>
      <w:r>
        <w:t>模块五·中文核心期刊文献实证（V2.2·19 种图情档核心期刊）</w:t>
      </w:r>
    </w:p>
    <w:p>
      <w:r>
        <w:t>下表论文来自 19 种中文图情档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中国图书馆学报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[事件驱动的数据可视化交互设计:基于"数据叙事"的探索和实践](https://doi.org/10.13530/j.cnki.jlis.2023032)</w:t>
            </w:r>
          </w:p>
        </w:tc>
        <w:tc>
          <w:tcPr>
            <w:tcW w:type="dxa" w:w="2160"/>
          </w:tcPr>
          <w:p>
            <w:r/>
            <w:r>
              <w:t>铁钟, 夏翠娟, 黄薇, 朱永宁, 刘梦悦</w:t>
            </w:r>
          </w:p>
        </w:tc>
      </w:tr>
    </w:tbl>
    <w:p>
      <w:r>
        <w:rPr>
          <w:b/>
        </w:rPr>
        <w:t>课堂复现（中文文献检索）</w:t>
      </w:r>
      <w:r>
        <w:t>：这些期刊正式全文多见于 CNKI/万方/维普（本环境无订阅）。可在机构网络以「期刊名 + 主题词」检索，导出 BibTeX/RIS 后交我并入；DOI 可在 https://doi.org/&lt;DOI&gt; 溯源摘要。</w:t>
      </w:r>
    </w:p>
    <w:p>
      <w:r>
        <w:rPr>
          <w:b/>
        </w:rPr>
        <w:t>误用警示</w:t>
      </w:r>
      <w:r>
        <w:t>：① 引用以期刊正式版本为准（年/卷/期/页）；② 回到原文核对方法与数据；③ 与本节实验的映射是"启发"而非"背书"。</w:t>
      </w:r>
    </w:p>
    <w:p>
      <w:r>
        <w:rPr>
          <w:b/>
        </w:rPr>
        <w:t>与实验衔接</w:t>
      </w:r>
      <w:r>
        <w:t>：将上表任一中文方法（如中文知识图谱、机器学习人文应用）对照本模块实验改写，即可形成有本土学术依据的结题报告。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模块五　数据可视化与视觉修辞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