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32"/>
      </w:pPr>
      <w:r>
        <w:rPr>
          <w:b/>
          <w:i/>
        </w:rPr>
        <w:t>学习目标</w:t>
      </w:r>
      <w:r>
        <w:rPr>
          <w:i/>
        </w:rPr>
        <w:t>：完成本模块后，你应能（1）说出 RDF、URI、本体各自解决什么问题；（2）描述从实体抽取到图谱对齐的构建流程；（3）用 GraphRAG 让问答"有据可依"；（4）指出本体设计本身可能固化的世界观偏见。</w:t>
      </w:r>
    </w:p>
    <w:p>
      <w:pPr>
        <w:pStyle w:val="Heading3"/>
      </w:pPr>
      <w:r>
        <w:t>9.1 把零散事实连成网络</w:t>
      </w:r>
    </w:p>
    <w:p>
      <w:r>
        <w:t>模块六的关系网是"图"，知识图谱是"带语义的图"：边不仅有"连"，还有"是""位于""师从"这样的</w:t>
      </w:r>
      <w:r>
        <w:rPr>
          <w:b/>
        </w:rPr>
        <w:t>含义</w:t>
      </w:r>
      <w:r>
        <w:t>。于是机器不仅能说"甲连乙"，还能推理"甲的学生乙，也师从丙"。</w:t>
      </w:r>
    </w:p>
    <w:p>
      <w:pPr>
        <w:pStyle w:val="Heading3"/>
      </w:pPr>
      <w:r>
        <w:t>9.2 语义网三件套：URI、RDF 与本体</w:t>
      </w:r>
    </w:p>
    <w:p>
      <w:pPr>
        <w:pStyle w:val="ListBullet"/>
      </w:pPr>
      <w:r>
        <w:rPr>
          <w:b/>
        </w:rPr>
        <w:t>URI</w:t>
      </w:r>
      <w:r>
        <w:t xml:space="preserve">：给每个实体一个全网唯一ID（如 </w:t>
      </w:r>
      <w:r>
        <w:rPr>
          <w:rFonts w:ascii="Consolas" w:hAnsi="Consolas" w:eastAsia="宋体"/>
          <w:sz w:val="18"/>
        </w:rPr>
        <w:t>:苏轼</w:t>
      </w:r>
      <w:r>
        <w:t>），避免"苏轼/苏东坡"被当成两人；</w:t>
      </w:r>
    </w:p>
    <w:p>
      <w:pPr>
        <w:pStyle w:val="ListBullet"/>
      </w:pPr>
      <w:r>
        <w:rPr>
          <w:b/>
        </w:rPr>
        <w:t>RDF</w:t>
      </w:r>
      <w:r>
        <w:t>：用"主—谓—宾"三元组表达事实（苏轼—字号—东坡居士）；</w:t>
      </w:r>
    </w:p>
    <w:p>
      <w:pPr>
        <w:pStyle w:val="ListBullet"/>
      </w:pPr>
      <w:r>
        <w:rPr>
          <w:b/>
        </w:rPr>
        <w:t>本体（ontology）</w:t>
      </w:r>
      <w:r>
        <w:t>：规定"类"与"关系"的词典（人可以有"师从"关系，地点可以有"位于"关系）。</w:t>
      </w:r>
    </w:p>
    <w:p>
      <w:r>
        <w:t>本模块 V2.1 的 *Using the Semantic Web in digital humanities*、*Sampo model and portal series* 展示了语义网如何在人文中落地。</w:t>
      </w:r>
    </w:p>
    <w:p>
      <w:pPr>
        <w:pStyle w:val="Heading3"/>
      </w:pPr>
      <w:r>
        <w:t>9.3 本体设计：类、属性与关系</w:t>
      </w:r>
    </w:p>
    <w:p>
      <w:r>
        <w:t>设计本体就是"定义你的世界由什么组成"。例如"诗人"类有属性"生年/籍贯/师承"；"作品"类有"体裁/年代"。本体定得好，检索与推理才稳；定得窄，就装不下真实历史的复杂。</w:t>
      </w:r>
    </w:p>
    <w:p>
      <w:pPr>
        <w:pStyle w:val="Heading3"/>
      </w:pPr>
      <w:r>
        <w:t>9.4 图谱构建：从抽取到对齐</w:t>
      </w:r>
    </w:p>
    <w:p>
      <w:r>
        <w:t xml:space="preserve">流程通常是：① 用 NER（模块四）抽实体；② 用关系抽取连边；③ </w:t>
      </w:r>
      <w:r>
        <w:rPr>
          <w:b/>
        </w:rPr>
        <w:t>对齐</w:t>
      </w:r>
      <w:r>
        <w:t>——把不同来源的"苏轼"归为同一节点，避免重复；④ 补属性。本模块 V2.1 的 *ChronoGrapher*（事件为中心构建）、*Geographic Knowledge Graph Summarization* 是两条技术路线。</w:t>
      </w:r>
    </w:p>
    <w:p>
      <w:pPr>
        <w:pStyle w:val="Heading3"/>
      </w:pPr>
      <w:r>
        <w:t>9.5 GraphRAG：图谱增强问答</w:t>
      </w:r>
    </w:p>
    <w:p>
      <w:r>
        <w:rPr>
          <w:b/>
        </w:rPr>
        <w:t>GraphRAG</w:t>
      </w:r>
      <w:r>
        <w:t xml:space="preserve"> 把知识图谱接到大模型：提问时先查图谱取相关子图，再让模型基于"有据"的片段回答，显著降低幻觉。这对人文特别有用——让 LLM 只基于你编好的领域事实说话，而非凭空编。</w:t>
      </w:r>
    </w:p>
    <w:p>
      <w:pPr>
        <w:pStyle w:val="Heading3"/>
      </w:pPr>
      <w:r>
        <w:t>9.6 伦理坐标：本体即世界观（本模块核心能力）</w:t>
      </w:r>
    </w:p>
    <w:p>
      <w:pPr>
        <w:pStyle w:val="ListBullet"/>
      </w:pPr>
      <w:r>
        <w:rPr>
          <w:b/>
        </w:rPr>
        <w:t>分类的暴力</w:t>
      </w:r>
      <w:r>
        <w:t>：用今天的类去切历史身份（如强行把古人归入现代学科），会扭曲；</w:t>
      </w:r>
    </w:p>
    <w:p>
      <w:pPr>
        <w:pStyle w:val="ListBullet"/>
      </w:pPr>
      <w:r>
        <w:rPr>
          <w:b/>
        </w:rPr>
        <w:t>被固化</w:t>
      </w:r>
      <w:r>
        <w:t>：本体一旦写成，就默认"世界就该这么分"，边缘类别被排除；</w:t>
      </w:r>
    </w:p>
    <w:p>
      <w:pPr>
        <w:pStyle w:val="ListBullet"/>
      </w:pPr>
      <w:r>
        <w:rPr>
          <w:b/>
        </w:rPr>
        <w:t>来源偏见</w:t>
      </w:r>
      <w:r>
        <w:t>：图谱只含被数字化的实体，沉默者再次缺席。</w:t>
      </w:r>
    </w:p>
    <w:p>
      <w:pPr>
        <w:ind w:left="432"/>
      </w:pPr>
      <w:r>
        <w:rPr>
          <w:b/>
          <w:i/>
        </w:rPr>
        <w:t>一条红线</w:t>
      </w:r>
      <w:r>
        <w:rPr>
          <w:i/>
        </w:rPr>
        <w:t>：不把本体当成"客观真理"，而是标明"这是本研究采用的分类视角"；对历史身份保持谦卑。</w:t>
      </w:r>
    </w:p>
    <w:p>
      <w:pPr>
        <w:pStyle w:val="Heading3"/>
      </w:pPr>
      <w:r>
        <w:t>9.7 第一次动手：建一张小领域图谱并问答</w:t>
      </w:r>
    </w:p>
    <w:p>
      <w:pPr>
        <w:ind w:left="432"/>
      </w:pPr>
      <w:r>
        <w:rPr>
          <w:b/>
          <w:i/>
        </w:rPr>
        <w:t>小练习 9.1（知识图谱）</w:t>
      </w:r>
      <w:r>
        <w:rPr>
          <w:i/>
        </w:rPr>
        <w:t xml:space="preserve">：取一个你熟悉的小领域（如某学派师承、某类器物出土地），手工或借助 NER 抽出 10–20 个实体与关系，写成三元组，用 </w:t>
      </w:r>
      <w:r>
        <w:rPr>
          <w:rFonts w:ascii="Consolas" w:hAnsi="Consolas" w:eastAsia="宋体"/>
          <w:i/>
          <w:sz w:val="18"/>
        </w:rPr>
        <w:t>rdflib</w:t>
      </w:r>
      <w:r>
        <w:rPr>
          <w:i/>
        </w:rPr>
        <w:t xml:space="preserve"> 建图并回答一个问题（如"苏轼的师承链是谁"）。本模块 V2.2 的《文化基因视域下诗词资源多维知识重组与可视化研究》《吐蕃藏文金石铭刻知识图谱构建研究》《基于知识图谱的井冈山革命文化资源数字叙事模型的构建与实现》分别是诗词、民族文献、红色资源的图谱范例，可对照你图谱的"叙事"设计。</w:t>
      </w:r>
    </w:p>
    <w:p>
      <w:pPr>
        <w:pStyle w:val="Heading3"/>
      </w:pPr>
      <w:r>
        <w:t>9.8 第二次动手：用 GraphRAG 在自有语料上问答并核查证据</w:t>
      </w:r>
    </w:p>
    <w:p>
      <w:pPr>
        <w:pStyle w:val="ListBullet"/>
      </w:pPr>
      <w:r>
        <w:rPr>
          <w:b/>
        </w:rPr>
        <w:t>目标</w:t>
      </w:r>
      <w:r>
        <w:t>：在 9.7 小图谱基础上，接 GraphRAG，验证“答案能否回溯到原文”。</w:t>
      </w:r>
    </w:p>
    <w:p>
      <w:pPr>
        <w:pStyle w:val="ListBullet"/>
      </w:pPr>
      <w:r>
        <w:rPr>
          <w:b/>
        </w:rPr>
        <w:t>步骤</w:t>
      </w:r>
      <w:r>
        <w:t>：</w:t>
      </w:r>
    </w:p>
    <w:p>
      <w:pPr>
        <w:pStyle w:val="ListBullet"/>
      </w:pPr>
      <w:r>
        <w:t>准备一份小语料（如某位学者的论文集）；</w:t>
      </w:r>
    </w:p>
    <w:p>
      <w:pPr>
        <w:pStyle w:val="ListBullet"/>
      </w:pPr>
      <w:r>
        <w:t>构建图谱 + 向量索引；</w:t>
      </w:r>
    </w:p>
    <w:p>
      <w:pPr>
        <w:pStyle w:val="ListBullet"/>
      </w:pPr>
      <w:r>
        <w:t>提 5 个问题；</w:t>
      </w:r>
    </w:p>
    <w:p>
      <w:pPr>
        <w:pStyle w:val="ListBullet"/>
      </w:pPr>
      <w:r>
        <w:t>对每答标注“证据句”；</w:t>
      </w:r>
    </w:p>
    <w:p>
      <w:pPr>
        <w:pStyle w:val="ListBullet"/>
      </w:pPr>
      <w:r>
        <w:t>统计可回溯比例，写反思。</w:t>
      </w:r>
    </w:p>
    <w:p>
      <w:pPr>
        <w:pStyle w:val="ListBullet"/>
      </w:pPr>
      <w:r>
        <w:rPr>
          <w:b/>
        </w:rPr>
        <w:t>工具</w:t>
      </w:r>
      <w:r>
        <w:t>：GraphRAG 或轻量 LangGraph 方案。</w:t>
      </w:r>
    </w:p>
    <w:p>
      <w:pPr>
        <w:pStyle w:val="ListBullet"/>
      </w:pPr>
      <w:r>
        <w:rPr>
          <w:b/>
        </w:rPr>
        <w:t>产出</w:t>
      </w:r>
      <w:r>
        <w:t>：问答记录 + 证据回溯表 + 反思。</w:t>
      </w:r>
    </w:p>
    <w:p>
      <w:pPr>
        <w:pStyle w:val="ListBullet"/>
      </w:pPr>
      <w:r>
        <w:rPr>
          <w:b/>
        </w:rPr>
        <w:t>评价量规</w:t>
      </w:r>
      <w:r>
        <w:t>：流程可跑（30%）、证据标注（30%）、回溯分析（40%）。</w:t>
      </w:r>
    </w:p>
    <w:p>
      <w:pPr>
        <w:pStyle w:val="Heading3"/>
      </w:pPr>
      <w:r>
        <w:t>9.9 本章小结</w:t>
      </w:r>
    </w:p>
    <w:p>
      <w:r>
        <w:t>带走三件事：</w:t>
      </w:r>
      <w:r>
        <w:rPr>
          <w:b/>
        </w:rPr>
        <w:t>语义网三件套</w:t>
      </w:r>
      <w:r>
        <w:t>（URI/RDF/本体）、</w:t>
      </w:r>
      <w:r>
        <w:rPr>
          <w:b/>
        </w:rPr>
        <w:t>构建四步</w:t>
      </w:r>
      <w:r>
        <w:t>（抽取→连边→对齐→补属性）、</w:t>
      </w:r>
      <w:r>
        <w:rPr>
          <w:b/>
        </w:rPr>
        <w:t>GraphRAG 降幻觉 + 本体偏见自觉</w:t>
      </w:r>
      <w:r>
        <w:t>。图谱让人文事实"可推理"，但分类视角要坦白。</w:t>
      </w:r>
    </w:p>
    <w:p>
      <w:pPr>
        <w:pStyle w:val="Heading3"/>
      </w:pPr>
      <w:r>
        <w:t>9.10 思考题</w:t>
      </w:r>
    </w:p>
    <w:p>
      <w:pPr>
        <w:pStyle w:val="ListNumber"/>
      </w:pPr>
      <w:r>
        <w:t>给你的小领域设计本体时，哪一类事实最难归类？这反映了什么分类难题？</w:t>
      </w:r>
    </w:p>
    <w:p>
      <w:pPr>
        <w:pStyle w:val="ListNumber"/>
      </w:pPr>
      <w:r>
        <w:t>知识图谱"对齐"把不同来源的同一实体合并，会不会因此丢失差异（如不同文献对同人的不同记载）？</w:t>
      </w:r>
    </w:p>
    <w:p>
      <w:pPr>
        <w:pStyle w:val="ListNumber"/>
      </w:pPr>
      <w:r>
        <w:t>用现代学科框架给古人分类，可能怎样扭曲历史？如何在本体里留"弹性"？</w:t>
      </w:r>
    </w:p>
    <w:p>
      <w:pPr>
        <w:pStyle w:val="Heading3"/>
      </w:pPr>
      <w:r>
        <w:t>9.11 思政融入（课程思政）</w:t>
      </w:r>
    </w:p>
    <w:p>
      <w:pPr>
        <w:ind w:left="432"/>
      </w:pPr>
      <w:r>
        <w:rPr>
          <w:b/>
          <w:i/>
        </w:rPr>
        <w:t>思政融入（课程思政）</w:t>
      </w:r>
      <w:r>
        <w:rPr>
          <w:i/>
        </w:rPr>
        <w:t>：构建基于中华典籍、方志、民族文献的知识图谱，是在为</w:t>
      </w:r>
      <w:r>
        <w:rPr>
          <w:b/>
          <w:i/>
        </w:rPr>
        <w:t>中国自主知识体系</w:t>
      </w:r>
      <w:r>
        <w:rPr>
          <w:i/>
        </w:rPr>
        <w:t>夯实地基。当我们用自己的材料、自己的分类去组织人类经验，就不再被动沿用他人框架。自主的本体与图谱，是文化主体性的数字表达——把中国人的知识家园掌握在自己手里。</w:t>
      </w:r>
    </w:p>
    <w:p>
      <w:pPr>
        <w:ind w:left="432"/>
      </w:pPr>
      <w:r>
        <w:rPr>
          <w:b/>
          <w:i/>
        </w:rPr>
        <w:t>思政案例（课程思政示范案例 / AI 思政课 知识库）</w:t>
      </w:r>
      <w:r>
        <w:rPr>
          <w:i/>
        </w:rPr>
        <w:t>：可参照人工智能思政精准教学中“知识图谱”的应用——自主构建领域图谱，正服务于中国自主知识体系建设。</w:t>
      </w:r>
    </w:p>
    <w:p>
      <w:pPr>
        <w:pStyle w:val="Heading3"/>
      </w:pPr>
      <w:r>
        <w:t>模块九·学术前沿：OpenAlex / DBLP / arXiv / CrossRef / CORE 实证文献（V2.1）</w:t>
      </w:r>
    </w:p>
    <w:p>
      <w:r>
        <w:t>下表为通过 OpenAlex（开放学术图谱，聚合期刊/会议/预印本）、DBLP（CS 会议期刊，含 SIGIR/UIST/DH/IJDAR/EPIA）、arXiv（预印本）、CrossRef（期刊 DOI 元数据）、CORE（开放获取库）检索到的真实文献，按来源/被引排序，供延伸阅读与实验报告引用。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标题（链接）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作者 / 场所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2020</w:t>
            </w:r>
          </w:p>
        </w:tc>
        <w:tc>
          <w:tcPr>
            <w:tcW w:type="dxa" w:w="2160"/>
          </w:tcPr>
          <w:p>
            <w:r/>
            <w:r>
              <w:t>[Using the Semantic Web in digital humanities: Shift from data publishing to data-analysis and serendipitous knowledge discovery](https://doi.org/10.3233/sw-190386)</w:t>
            </w:r>
          </w:p>
        </w:tc>
        <w:tc>
          <w:tcPr>
            <w:tcW w:type="dxa" w:w="2160"/>
          </w:tcPr>
          <w:p>
            <w:r/>
            <w:r>
              <w:t>Semantic Web（被引 53）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2023</w:t>
            </w:r>
          </w:p>
        </w:tc>
        <w:tc>
          <w:tcPr>
            <w:tcW w:type="dxa" w:w="2160"/>
          </w:tcPr>
          <w:p>
            <w:r/>
            <w:r>
              <w:t>[Digital humanities on the Semantic Web: Sampo model and portal series](https://doi.org/10.3233/sw-223034)</w:t>
            </w:r>
          </w:p>
        </w:tc>
        <w:tc>
          <w:tcPr>
            <w:tcW w:type="dxa" w:w="2160"/>
          </w:tcPr>
          <w:p>
            <w:r/>
            <w:r>
              <w:t>Semantic Web（被引 37）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2020</w:t>
            </w:r>
          </w:p>
        </w:tc>
        <w:tc>
          <w:tcPr>
            <w:tcW w:type="dxa" w:w="2160"/>
          </w:tcPr>
          <w:p>
            <w:r/>
            <w:r>
              <w:t>[“Sampo” Model and Semantic Portals for Digital Humanities on the Semantic Web](https://doi.org/10.5617/dhnbpub.11209)</w:t>
            </w:r>
          </w:p>
        </w:tc>
        <w:tc>
          <w:tcPr>
            <w:tcW w:type="dxa" w:w="2160"/>
          </w:tcPr>
          <w:p>
            <w:r/>
            <w:r>
              <w:t>Digital Humanities in the Nordic and Baltic Countries Publications（被引 7）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2025</w:t>
            </w:r>
          </w:p>
        </w:tc>
        <w:tc>
          <w:tcPr>
            <w:tcW w:type="dxa" w:w="2160"/>
          </w:tcPr>
          <w:p>
            <w:r/>
            <w:r>
              <w:t>[ChronoGrapher: Event-Centric Knowledge Graph Construction via Informed Graph Traversal](https://doi.org/10.1177/22104968251377247)</w:t>
            </w:r>
          </w:p>
        </w:tc>
        <w:tc>
          <w:tcPr>
            <w:tcW w:type="dxa" w:w="2160"/>
          </w:tcPr>
          <w:p>
            <w:r/>
            <w:r>
              <w:t>Semantic Web: – Interoperability, Usability, Applicability（被引 2）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2019</w:t>
            </w:r>
          </w:p>
        </w:tc>
        <w:tc>
          <w:tcPr>
            <w:tcW w:type="dxa" w:w="2160"/>
          </w:tcPr>
          <w:p>
            <w:r/>
            <w:r>
              <w:t>[Geographic Knowledge Graph Summarization](https://doi.org/10.3233/ssw190004-mono)</w:t>
            </w:r>
          </w:p>
        </w:tc>
        <w:tc>
          <w:tcPr>
            <w:tcW w:type="dxa" w:w="2160"/>
          </w:tcPr>
          <w:p>
            <w:r/>
            <w:r>
              <w:t>Studies on the Semantic Web（被引 1）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2020</w:t>
            </w:r>
          </w:p>
        </w:tc>
        <w:tc>
          <w:tcPr>
            <w:tcW w:type="dxa" w:w="2160"/>
          </w:tcPr>
          <w:p>
            <w:r/>
            <w:r>
              <w:t>[Digital Humanities and Semantic Web:  The New Frontiers of Transdisciplinary Knowledge](https://doi.org/10.33423/jhetp.v20i13.3845)</w:t>
            </w:r>
          </w:p>
        </w:tc>
        <w:tc>
          <w:tcPr>
            <w:tcW w:type="dxa" w:w="2160"/>
          </w:tcPr>
          <w:p>
            <w:r/>
            <w:r>
              <w:t>Journal of Higher Education Theory and Practice（被引 1）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2022</w:t>
            </w:r>
          </w:p>
        </w:tc>
        <w:tc>
          <w:tcPr>
            <w:tcW w:type="dxa" w:w="2160"/>
          </w:tcPr>
          <w:p>
            <w:r/>
            <w:r>
              <w:t>[Semantic Web: Knowledge Graph of Digital Minimalism Ontology](https://doi.org/10.1109/incet54531.2022.9824657)</w:t>
            </w:r>
          </w:p>
        </w:tc>
        <w:tc>
          <w:tcPr>
            <w:tcW w:type="dxa" w:w="2160"/>
          </w:tcPr>
          <w:p>
            <w:r/>
            <w:r>
              <w:t>2022 3rd International Conference for Emerging Technology (INCET)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2026</w:t>
            </w:r>
          </w:p>
        </w:tc>
        <w:tc>
          <w:tcPr>
            <w:tcW w:type="dxa" w:w="2160"/>
          </w:tcPr>
          <w:p>
            <w:r/>
            <w:r>
              <w:t>[Mathematical Tools for Knowledge Representation](https://doi.org/10.1201/9781032626840-4)</w:t>
            </w:r>
          </w:p>
        </w:tc>
        <w:tc>
          <w:tcPr>
            <w:tcW w:type="dxa" w:w="2160"/>
          </w:tcPr>
          <w:p>
            <w:r/>
            <w:r>
              <w:t>Knowledge Graph and Semantic Web Technology based XAI</w:t>
            </w:r>
          </w:p>
        </w:tc>
      </w:tr>
    </w:tbl>
    <w:p>
      <w:r>
        <w:rPr>
          <w:b/>
        </w:rPr>
        <w:t>课堂复现（检索即方法）</w:t>
      </w:r>
      <w:r>
        <w:t>：下列代码直接调用 OpenAlex 免费 API 复现本模块文献检索（无需密钥）。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import urllib.request, urllib.parse, json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q = 'data science digital humanities'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url = 'https://api.openalex.org/works?search=' + urllib.parse.quote(q) + '&amp;per_page=10&amp;sort=cited_by_count:desc'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oa = json.loads(urllib.request.urlopen(url, timeout=30).read())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for w in oa['results']: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print(w['publication_year'], w['title'], '-&gt;', (w.get('primary_location') or {}).get('source', {}).get('display_name'))</w:t>
      </w:r>
    </w:p>
    <w:p>
      <w:r>
        <w:rPr>
          <w:b/>
        </w:rPr>
        <w:t>误用警示</w:t>
      </w:r>
      <w:r>
        <w:t>：① arXiv 预印本未经同行评审，引用须标 preprint 并追正式版；② 被引数代表影响力非结论正确；③ 商业库（WoS/Scopus/Elsevier/JSTOR/CNKI）本环境无订阅，需机构账号获取后再并入。</w:t>
      </w:r>
    </w:p>
    <w:p>
      <w:r>
        <w:rPr>
          <w:b/>
        </w:rPr>
        <w:t>与实验衔接</w:t>
      </w:r>
      <w:r>
        <w:t>：将任一方法对照本模块实验改写数据集或提示词，即可形成有学术依据的结题报告。</w:t>
      </w:r>
    </w:p>
    <w:p>
      <w:pPr>
        <w:pStyle w:val="Heading3"/>
      </w:pPr>
      <w:r>
        <w:t>模块九·中文核心期刊文献实证（V2.2·19 种图情档核心期刊）</w:t>
      </w:r>
    </w:p>
    <w:p>
      <w:r>
        <w:t>下表论文来自 19 种中文图情档核心期刊（中国图书馆学报、情报学报、情报资料工作、档案学通讯、大学图书馆学报、图书情报工作、数据分析与知识发现、情报杂志、情报理论与实践、图书与情报、档案学研究、图书馆杂志、图书情报知识、图书馆论坛、图书馆学研究、图书馆建设、情报科学、现代情报、信息资源管理学报），经 Web 检索（期刊官网 / CNKI 索引 / DOI 溯源）按主题核实得到真实文献（含 DOI/链接）。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来源期刊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标题（链接）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作者</w:t>
            </w:r>
          </w:p>
        </w:tc>
      </w:tr>
      <w:tr>
        <w:tc>
          <w:tcPr>
            <w:tcW w:type="dxa" w:w="2160"/>
          </w:tcPr>
          <w:p>
            <w:r/>
            <w:r>
              <w:t>图书情报工作</w:t>
            </w:r>
          </w:p>
        </w:tc>
        <w:tc>
          <w:tcPr>
            <w:tcW w:type="dxa" w:w="2160"/>
          </w:tcPr>
          <w:p>
            <w:r/>
            <w:r>
              <w:t>2023</w:t>
            </w:r>
          </w:p>
        </w:tc>
        <w:tc>
          <w:tcPr>
            <w:tcW w:type="dxa" w:w="2160"/>
          </w:tcPr>
          <w:p>
            <w:r/>
            <w:r>
              <w:t>[文化基因视域下诗词资源多维知识重组与可视化研究](https://doi.org/10.13266/j.issn.0252-3116.2023.16.011)</w:t>
            </w:r>
          </w:p>
        </w:tc>
        <w:tc>
          <w:tcPr>
            <w:tcW w:type="dxa" w:w="2160"/>
          </w:tcPr>
          <w:p>
            <w:r/>
            <w:r>
              <w:t>周树斌, 高劲松, 张强 等</w:t>
            </w:r>
          </w:p>
        </w:tc>
      </w:tr>
      <w:tr>
        <w:tc>
          <w:tcPr>
            <w:tcW w:type="dxa" w:w="2160"/>
          </w:tcPr>
          <w:p>
            <w:r/>
            <w:r>
              <w:t>图书情报工作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[基于知识图谱的井冈山革命文化资源数字叙事模型的构建与实现](https://doi.org/10.13266/j.issn.0252-3116.2024.23.009)</w:t>
            </w:r>
          </w:p>
        </w:tc>
        <w:tc>
          <w:tcPr>
            <w:tcW w:type="dxa" w:w="2160"/>
          </w:tcPr>
          <w:p>
            <w:r/>
            <w:r>
              <w:t>张云中, 汪诗雨</w:t>
            </w:r>
          </w:p>
        </w:tc>
      </w:tr>
      <w:tr>
        <w:tc>
          <w:tcPr>
            <w:tcW w:type="dxa" w:w="2160"/>
          </w:tcPr>
          <w:p>
            <w:r/>
            <w:r>
              <w:t>图书情报工作</w:t>
            </w:r>
          </w:p>
        </w:tc>
        <w:tc>
          <w:tcPr>
            <w:tcW w:type="dxa" w:w="2160"/>
          </w:tcPr>
          <w:p>
            <w:r/>
            <w:r>
              <w:t>2023</w:t>
            </w:r>
          </w:p>
        </w:tc>
        <w:tc>
          <w:tcPr>
            <w:tcW w:type="dxa" w:w="2160"/>
          </w:tcPr>
          <w:p>
            <w:r/>
            <w:r>
              <w:t>[吐蕃藏文金石铭刻知识图谱构建研究](https://doi.org/10.13266/j.issn.0252-3116.2023.08.013)</w:t>
            </w:r>
          </w:p>
        </w:tc>
        <w:tc>
          <w:tcPr>
            <w:tcW w:type="dxa" w:w="2160"/>
          </w:tcPr>
          <w:p>
            <w:r/>
            <w:r>
              <w:t>龙从军, 安波, 张圣彦</w:t>
            </w:r>
          </w:p>
        </w:tc>
      </w:tr>
      <w:tr>
        <w:tc>
          <w:tcPr>
            <w:tcW w:type="dxa" w:w="2160"/>
          </w:tcPr>
          <w:p>
            <w:r/>
            <w:r>
              <w:t>图书情报工作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[面向探索式搜索的领域知识图谱构建及实验探索](https://doi.org/10.13266/j.issn.0252-3116.2024.03.010)</w:t>
            </w:r>
          </w:p>
        </w:tc>
        <w:tc>
          <w:tcPr>
            <w:tcW w:type="dxa" w:w="2160"/>
          </w:tcPr>
          <w:p>
            <w:r/>
            <w:r>
              <w:t>王娟, 曹树金, 王志红, 彭碧涛</w:t>
            </w:r>
          </w:p>
        </w:tc>
      </w:tr>
      <w:tr>
        <w:tc>
          <w:tcPr>
            <w:tcW w:type="dxa" w:w="2160"/>
          </w:tcPr>
          <w:p>
            <w:r/>
            <w:r>
              <w:t>图书情报工作</w:t>
            </w:r>
          </w:p>
        </w:tc>
        <w:tc>
          <w:tcPr>
            <w:tcW w:type="dxa" w:w="2160"/>
          </w:tcPr>
          <w:p>
            <w:r/>
            <w:r>
              <w:t>2023</w:t>
            </w:r>
          </w:p>
        </w:tc>
        <w:tc>
          <w:tcPr>
            <w:tcW w:type="dxa" w:w="2160"/>
          </w:tcPr>
          <w:p>
            <w:r/>
            <w:r>
              <w:t>[基于协作智能的数字人文领域知识图谱构建](https://doi.org/10.13266/j.issn.0252-3116.2023.04.012)</w:t>
            </w:r>
          </w:p>
        </w:tc>
        <w:tc>
          <w:tcPr>
            <w:tcW w:type="dxa" w:w="2160"/>
          </w:tcPr>
          <w:p>
            <w:r/>
            <w:r>
              <w:t>任明, 贾君枝</w:t>
            </w:r>
          </w:p>
        </w:tc>
      </w:tr>
      <w:tr>
        <w:tc>
          <w:tcPr>
            <w:tcW w:type="dxa" w:w="2160"/>
          </w:tcPr>
          <w:p>
            <w:r/>
            <w:r>
              <w:t>图书情报工作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[智慧图书馆建设过程中技术元素分析及知识图谱构建研究](https://doi.org/10.13266/j.issn.0252-3116.2024.09.012)</w:t>
            </w:r>
          </w:p>
        </w:tc>
        <w:tc>
          <w:tcPr>
            <w:tcW w:type="dxa" w:w="2160"/>
          </w:tcPr>
          <w:p>
            <w:r/>
            <w:r>
              <w:t>程秀峰, 曹琪, 蒋开宸, 周梦蝶</w:t>
            </w:r>
          </w:p>
        </w:tc>
      </w:tr>
      <w:tr>
        <w:tc>
          <w:tcPr>
            <w:tcW w:type="dxa" w:w="2160"/>
          </w:tcPr>
          <w:p>
            <w:r/>
            <w:r>
              <w:t>图书情报工作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[面向中文电子病历的多模态知识图谱构建方法研究](https://doi.org/10.13266/j.issn.0252-3116.2024.23.003)</w:t>
            </w:r>
          </w:p>
        </w:tc>
        <w:tc>
          <w:tcPr>
            <w:tcW w:type="dxa" w:w="2160"/>
          </w:tcPr>
          <w:p>
            <w:r/>
            <w:r>
              <w:t>韩普, 陈文祺, 叶东宇</w:t>
            </w:r>
          </w:p>
        </w:tc>
      </w:tr>
      <w:tr>
        <w:tc>
          <w:tcPr>
            <w:tcW w:type="dxa" w:w="2160"/>
          </w:tcPr>
          <w:p>
            <w:r/>
            <w:r>
              <w:t>数据分析与知识发现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[基于开源情报的军事知识图谱问答智能服务研究](https://doi.org/10.11925/infotech.2096-3467.2023.0422)</w:t>
            </w:r>
          </w:p>
        </w:tc>
        <w:tc>
          <w:tcPr>
            <w:tcW w:type="dxa" w:w="2160"/>
          </w:tcPr>
          <w:p>
            <w:r/>
            <w:r>
              <w:t>范俊杰, 马海群, 刘兴丽</w:t>
            </w:r>
          </w:p>
        </w:tc>
      </w:tr>
    </w:tbl>
    <w:p>
      <w:r>
        <w:rPr>
          <w:b/>
        </w:rPr>
        <w:t>课堂复现（中文文献检索）</w:t>
      </w:r>
      <w:r>
        <w:t>：这些期刊正式全文多见于 CNKI/万方/维普（本环境无订阅）。可在机构网络以「期刊名 + 主题词」检索，导出 BibTeX/RIS 后交我并入；DOI 可在 https://doi.org/&lt;DOI&gt; 溯源摘要。</w:t>
      </w:r>
    </w:p>
    <w:p>
      <w:r>
        <w:rPr>
          <w:b/>
        </w:rPr>
        <w:t>误用警示</w:t>
      </w:r>
      <w:r>
        <w:t>：① 引用以期刊正式版本为准（年/卷/期/页）；② 回到原文核对方法与数据；③ 与本节实验的映射是"启发"而非"背书"。</w:t>
      </w:r>
    </w:p>
    <w:p>
      <w:r>
        <w:rPr>
          <w:b/>
        </w:rPr>
        <w:t>与实验衔接</w:t>
      </w:r>
      <w:r>
        <w:t>：将上表任一中文方法（如中文知识图谱、机器学习人文应用）对照本模块实验改写，即可形成有本土学术依据的结题报告。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模块九　知识图谱与语义技术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