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t>：完成本模块后，你应能（1）用提示工程从 LLM 得到稳定可用的回答；（2）说明 RAG 如何给模型接上你的专属语料、抑制幻觉；（3）描述智能体（agent）能承担的探索视野；（4）在学术诚信前提下负责任地使用生成式 AI。</w:t>
      </w:r>
    </w:p>
    <w:p>
      <w:pPr>
        <w:pStyle w:val="Heading3"/>
      </w:pPr>
      <w:r>
        <w:t>11.1 生成式 AI 进了人文书房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大模型能写、能读、能答，像一位随叫随到的"超长待机助理"。但它会编、会抄、会替你思考——这一模块教你在</w:t>
      </w:r>
      <w:r>
        <w:rPr>
          <w:b/>
        </w:rPr>
        <w:t>不交出思考权</w:t>
      </w:r>
      <w:r>
        <w:t>的前提下用它提效（见本模块 V2.1 的 *Large Language Models*、*Introduction to Generative AI and Large Language Models*）。</w:t>
      </w:r>
    </w:p>
    <w:p>
      <w:pPr>
        <w:pStyle w:val="Heading3"/>
      </w:pPr>
      <w:r>
        <w:t>11.2 提示工程：会问才会答</w:t>
      </w:r>
    </w:p>
    <w:p>
      <w:r>
        <w:t>好提示 = 角色 + 任务 + 约束 + 示例。例如："你是唐史研究者，请从这段墓志中抽出人物关系，仅输出 JSON，不发挥。"提示写清，输出才稳。零样本/少样本提示（few-shot）常比空泛提问准得多——本模块 V2.2 的《基于 ChatGPT 和零样本提示的临床量表文本中结构化项目信息抽取研究》就是一例。</w:t>
      </w:r>
    </w:p>
    <w:p>
      <w:pPr>
        <w:pStyle w:val="Heading3"/>
      </w:pPr>
      <w:r>
        <w:t>11.3 RAG：让 LLM 接上你的语料</w:t>
      </w:r>
    </w:p>
    <w:p>
      <w:r>
        <w:rPr>
          <w:b/>
        </w:rPr>
        <w:t>RAG（检索增强生成）</w:t>
      </w:r>
      <w:r>
        <w:t xml:space="preserve"> 先在你的资料里搜相关片段，再把片段喂给模型生成答案，答案"有据可依"，大幅减少胡编。对人文极关键：让模型只基于你信任的古籍/档案说话，而非全网混猜。</w:t>
      </w:r>
    </w:p>
    <w:p>
      <w:pPr>
        <w:pStyle w:val="Heading3"/>
      </w:pPr>
      <w:r>
        <w:t>11.4 智能体：多步自主任务</w:t>
      </w:r>
    </w:p>
    <w:p>
      <w:r>
        <w:rPr>
          <w:b/>
        </w:rPr>
        <w:t>智能体（agent）</w:t>
      </w:r>
      <w:r>
        <w:t xml:space="preserve"> 能自己拆解任务、调工具、迭代（见本模块 V2.1 的 *AI Agents*、*Applications of AI Chatbots Based on Generative AI*）。例如"找近十年关于某工匠的文献→建年表→画关系图"可交给一个编排好的智能体流水线。它强，但每步仍要人审。</w:t>
      </w:r>
    </w:p>
    <w:p>
      <w:pPr>
        <w:pStyle w:val="Heading3"/>
      </w:pPr>
      <w:r>
        <w:t>11.5 局限与风险：幻觉、版权与学术诚信</w:t>
      </w:r>
    </w:p>
    <w:p>
      <w:pPr>
        <w:pStyle w:val="ListBullet"/>
      </w:pPr>
      <w:r>
        <w:rPr>
          <w:b/>
        </w:rPr>
        <w:t>幻觉</w:t>
      </w:r>
      <w:r>
        <w:t>：模型流畅地编造出处与事实（见 V2.1 的 *Imperfectly Perfect AI Chatbots*）；</w:t>
      </w:r>
    </w:p>
    <w:p>
      <w:pPr>
        <w:pStyle w:val="ListBullet"/>
      </w:pPr>
      <w:r>
        <w:rPr>
          <w:b/>
        </w:rPr>
        <w:t>版权</w:t>
      </w:r>
      <w:r>
        <w:t>：训练数据来源不明，生成物权属模糊；</w:t>
      </w:r>
    </w:p>
    <w:p>
      <w:pPr>
        <w:pStyle w:val="ListBullet"/>
      </w:pPr>
      <w:r>
        <w:rPr>
          <w:b/>
        </w:rPr>
        <w:t>学术诚信</w:t>
      </w:r>
      <w:r>
        <w:t>：代写、伪造引用是红线。本模块 V2.2 的《ChatGPT 生成综述的质量评测与应用策略》《Comparative Study on ChatGPT and Scholars' Abstracts》直接测评了"机器摘要 vs 学者摘要"的差距，值得一读。</w:t>
      </w:r>
    </w:p>
    <w:p>
      <w:pPr>
        <w:pStyle w:val="Heading3"/>
      </w:pPr>
      <w:r>
        <w:t>11.6 伦理坐标：署名、透明、不替代思考（本模块核心能力）</w:t>
      </w:r>
    </w:p>
    <w:p>
      <w:pPr>
        <w:pStyle w:val="ListBullet"/>
      </w:pPr>
      <w:r>
        <w:rPr>
          <w:b/>
        </w:rPr>
        <w:t>透明声明</w:t>
      </w:r>
      <w:r>
        <w:t>：凡用 AI 辅助，在作业/论文中写明用了什么、用在哪里；</w:t>
      </w:r>
    </w:p>
    <w:p>
      <w:pPr>
        <w:pStyle w:val="ListBullet"/>
      </w:pPr>
      <w:r>
        <w:rPr>
          <w:b/>
        </w:rPr>
        <w:t>不替代思考</w:t>
      </w:r>
      <w:r>
        <w:t>：AI 生成的是草稿不是结论，关键判断必须由你做；</w:t>
      </w:r>
    </w:p>
    <w:p>
      <w:pPr>
        <w:pStyle w:val="ListBullet"/>
      </w:pPr>
      <w:r>
        <w:rPr>
          <w:b/>
        </w:rPr>
        <w:t>不伪造</w:t>
      </w:r>
      <w:r>
        <w:t>：不许用 AI 造文献、造数据、造引用；</w:t>
      </w:r>
    </w:p>
    <w:p>
      <w:pPr>
        <w:pStyle w:val="ListBullet"/>
      </w:pPr>
      <w:r>
        <w:rPr>
          <w:b/>
        </w:rPr>
        <w:t>版权合规</w:t>
      </w:r>
      <w:r>
        <w:t>：不把受版权文本大规模喂入不明来源的服务。</w:t>
      </w:r>
    </w:p>
    <w:p>
      <w:pPr>
        <w:ind w:left="432"/>
      </w:pPr>
      <w:r>
        <w:rPr>
          <w:b/>
          <w:i/>
        </w:rPr>
        <w:t>一条红线</w:t>
      </w:r>
      <w:r>
        <w:rPr>
          <w:i/>
        </w:rPr>
        <w:t>：任何交付物中，AI 生成内容须标注；伪造引用与数据，按学术不端处理。本课程鼓励"用 AI 提效"，零容忍"用 AI 作弊"。</w:t>
      </w:r>
    </w:p>
    <w:p>
      <w:pPr>
        <w:ind w:left="432"/>
      </w:pPr>
      <w:r>
        <w:rPr>
          <w:b/>
          <w:i/>
        </w:rPr>
        <w:t>现实案例 11.1（AI 的双向放大：论文工厂与 AI 打假）</w:t>
      </w:r>
      <w:r>
        <w:rPr>
          <w:i/>
        </w:rPr>
        <w:br/>
        <w:br/>
        <w:t>生成式 AI 正在同时放大"造假"与"打假"两种能力——这正是本模块要你警惕的：</w:t>
        <w:br/>
        <w:t xml:space="preserve">- </w:t>
      </w:r>
      <w:r>
        <w:rPr>
          <w:b/>
          <w:i/>
        </w:rPr>
        <w:t>造假一侧</w:t>
      </w:r>
      <w:r>
        <w:rPr>
          <w:i/>
        </w:rPr>
        <w:t>：据多地警方与媒体调查，已出现公司化运营的"论文工厂"，从代写、代投、数据造假到图片处理提供"一条龙"服务；有报道称单家工厂年发表造假论文可达十万篇量级。AI 让批量生成"看似合理"的数据、文本与图像变得廉价。</w:t>
        <w:br/>
        <w:t xml:space="preserve">- </w:t>
      </w:r>
      <w:r>
        <w:rPr>
          <w:b/>
          <w:i/>
        </w:rPr>
        <w:t>打假一侧</w:t>
      </w:r>
      <w:r>
        <w:rPr>
          <w:i/>
        </w:rPr>
        <w:t>：同一批技术也被用于监督。围绕 2026 年的打假风波，开源社区出现了用 AI 辅助检查论文数据造假、图片复用与统计异常的工具；《科学》(Science) 于 2026 年 6 月以 *Misconduct sleuth in China swiftly gains acclaim for calling out questionable papers* 为题报道此事，称民间举报者是治理科研不端过程中"出人意料的盟友"，并引述学者评价：这可能是基层举报者首次借助社交媒体获得广泛正面报道、并推动实质调查的案例。</w:t>
        <w:br/>
        <w:t xml:space="preserve">- </w:t>
      </w:r>
      <w:r>
        <w:rPr>
          <w:b/>
          <w:i/>
        </w:rPr>
        <w:t>正面示范</w:t>
      </w:r>
      <w:r>
        <w:rPr>
          <w:i/>
        </w:rPr>
        <w:t>：学术纠错本身不是丑闻。2026 年 2 月，一篇发表于 Science 的动物演化论文，因国内研究团队公开指出其技术缺陷，从发表到撤稿仅 84 天——这就是"可复现 + 公开质疑"机制有效运转的样子。</w:t>
        <w:br/>
        <w:br/>
      </w:r>
      <w:r>
        <w:rPr>
          <w:b/>
          <w:i/>
        </w:rPr>
        <w:t>补一条红线</w:t>
      </w:r>
      <w:r>
        <w:rPr>
          <w:i/>
        </w:rPr>
        <w:t>：用 AI 造数据、造图片、造引用，与亲手造假同属学术不端；反过来，用 AI 检测异常、做数据审计，是这门课鼓励你掌握的能力。工具中立，人的选择不中立。</w:t>
        <w:br/>
        <w:br/>
        <w:t>*资料来源：Science, "Misconduct sleuth in China swiftly gains acclaim for calling out questionable papers"（2026-06-09）；Science 撤稿声明（2026-02-05）。*</w:t>
      </w:r>
    </w:p>
    <w:p>
      <w:pPr>
        <w:pStyle w:val="Heading3"/>
      </w:pPr>
      <w:r>
        <w:t>11.7 第一次动手：用 RAG 问一本古籍</w:t>
      </w:r>
    </w:p>
    <w:p>
      <w:pPr>
        <w:ind w:left="432"/>
      </w:pPr>
      <w:r>
        <w:rPr>
          <w:b/>
          <w:i/>
        </w:rPr>
        <w:t>小练习 11.1（生成式 AI）</w:t>
      </w:r>
      <w:r>
        <w:rPr>
          <w:i/>
        </w:rPr>
        <w:t>：取你的一小组文本（如某人文集或模块二取回的数据集），用最简 RAG 流程（切段→向量化→检索→让模型基于检索段作答）问它一个具体问题，对比"直接问模型"与"RAG 问"的答案差异，记录模型是否仍出现幻觉。本模块 V2.2 的《古籍智能信息处理研究现状》《大语言模型背景下文献的跨学科知识组织和可视化研究》可作方法参照，看 RAG 如何把"通用大模型"变成"你的领域助手"。</w:t>
      </w:r>
    </w:p>
    <w:p>
      <w:pPr>
        <w:pStyle w:val="Heading3"/>
      </w:pPr>
      <w:r>
        <w:t>11.8 第二次动手：写提示词模板并做“幻觉自检”</w:t>
      </w:r>
    </w:p>
    <w:p>
      <w:pPr>
        <w:pStyle w:val="ListBullet"/>
      </w:pPr>
      <w:r>
        <w:rPr>
          <w:b/>
        </w:rPr>
        <w:t>目标</w:t>
      </w:r>
      <w:r>
        <w:t>：把 11.7 的 RAG 问答工程化，加入引用回溯防止幻觉。</w:t>
      </w:r>
    </w:p>
    <w:p>
      <w:pPr>
        <w:pStyle w:val="ListBullet"/>
      </w:pPr>
      <w:r>
        <w:rPr>
          <w:b/>
        </w:rPr>
        <w:t>步骤</w:t>
      </w:r>
      <w:r>
        <w:t>：</w:t>
      </w:r>
    </w:p>
    <w:p>
      <w:pPr>
        <w:pStyle w:val="ListBullet"/>
      </w:pPr>
      <w:r>
        <w:t>设计“带引用”的提示词模板；</w:t>
      </w:r>
    </w:p>
    <w:p>
      <w:pPr>
        <w:pStyle w:val="ListBullet"/>
      </w:pPr>
      <w:r>
        <w:t>问 5 个问题；</w:t>
      </w:r>
    </w:p>
    <w:p>
      <w:pPr>
        <w:pStyle w:val="ListBullet"/>
      </w:pPr>
      <w:r>
        <w:t>逐条检查答案是否能在语料中找到出处；</w:t>
      </w:r>
    </w:p>
    <w:p>
      <w:pPr>
        <w:pStyle w:val="ListBullet"/>
      </w:pPr>
      <w:r>
        <w:t>标出幻觉条数；</w:t>
      </w:r>
    </w:p>
    <w:p>
      <w:pPr>
        <w:pStyle w:val="ListBullet"/>
      </w:pPr>
      <w:r>
        <w:t>改模板降低幻觉，对比前后。</w:t>
      </w:r>
    </w:p>
    <w:p>
      <w:pPr>
        <w:pStyle w:val="ListBullet"/>
      </w:pPr>
      <w:r>
        <w:rPr>
          <w:b/>
        </w:rPr>
        <w:t>工具</w:t>
      </w:r>
      <w:r>
        <w:t>：LLM + 你的语料（RAG）。</w:t>
      </w:r>
    </w:p>
    <w:p>
      <w:pPr>
        <w:pStyle w:val="ListBullet"/>
      </w:pPr>
      <w:r>
        <w:rPr>
          <w:b/>
        </w:rPr>
        <w:t>产出</w:t>
      </w:r>
      <w:r>
        <w:t>：提示词模板 + 幻觉核查表 + 前后对比。</w:t>
      </w:r>
    </w:p>
    <w:p>
      <w:pPr>
        <w:pStyle w:val="ListBullet"/>
      </w:pPr>
      <w:r>
        <w:rPr>
          <w:b/>
        </w:rPr>
        <w:t>评价量规</w:t>
      </w:r>
      <w:r>
        <w:t>：模板可用（30%）、引用核查严（30%）、迭代有改进（40%）。</w:t>
      </w:r>
    </w:p>
    <w:p>
      <w:pPr>
        <w:pStyle w:val="Heading3"/>
      </w:pPr>
      <w:r>
        <w:t>11.9 本章小结</w:t>
      </w:r>
    </w:p>
    <w:p>
      <w:r>
        <w:t>带走三件事：</w:t>
      </w:r>
      <w:r>
        <w:rPr>
          <w:b/>
        </w:rPr>
        <w:t>提示工程</w:t>
      </w:r>
      <w:r>
        <w:t>（角色/任务/约束/示例）、</w:t>
      </w:r>
      <w:r>
        <w:rPr>
          <w:b/>
        </w:rPr>
        <w:t>RAG 抑幻觉</w:t>
      </w:r>
      <w:r>
        <w:t>、</w:t>
      </w:r>
      <w:r>
        <w:rPr>
          <w:b/>
        </w:rPr>
        <w:t>智能体提效 + 诚信红线</w:t>
      </w:r>
      <w:r>
        <w:t>（透明/不替代/不伪造）。大模型是书房里的新成员，主位是你。</w:t>
      </w:r>
    </w:p>
    <w:p>
      <w:pPr>
        <w:pStyle w:val="Heading3"/>
      </w:pPr>
      <w:r>
        <w:t>11.10 思考题</w:t>
      </w:r>
    </w:p>
    <w:p>
      <w:pPr>
        <w:pStyle w:val="ListNumber"/>
      </w:pPr>
      <w:r>
        <w:t>用 RAG 与不用 RAG 问同一古籍问题，答案差异说明了什么？</w:t>
      </w:r>
    </w:p>
    <w:p>
      <w:pPr>
        <w:pStyle w:val="ListNumber"/>
      </w:pPr>
      <w:r>
        <w:t>如果 AI 帮你写了文献综述初稿，你在作业里应如何声明才符合学术诚信？</w:t>
      </w:r>
    </w:p>
    <w:p>
      <w:pPr>
        <w:pStyle w:val="ListNumber"/>
      </w:pPr>
      <w:r>
        <w:t>"模型会编出处"对人文研究是致命伤。你会在流程的哪一步设卡，拦住幻觉流入结论？</w:t>
      </w:r>
    </w:p>
    <w:p>
      <w:pPr>
        <w:pStyle w:val="Heading3"/>
      </w:pPr>
      <w:r>
        <w:t>11.11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：大模型是新一轮科技竞争的制高点，</w:t>
      </w:r>
      <w:r>
        <w:rPr>
          <w:b/>
          <w:i/>
        </w:rPr>
        <w:t>关键核心技术自主可控</w:t>
      </w:r>
      <w:r>
        <w:rPr>
          <w:i/>
        </w:rPr>
        <w:t>关乎国家发展与安全。使用生成式 AI 时，既要提升效率，也要防范对外部工具的过度依赖与数据外泄风险，并严守</w:t>
      </w:r>
      <w:r>
        <w:rPr>
          <w:b/>
          <w:i/>
        </w:rPr>
        <w:t>学术诚信</w:t>
      </w:r>
      <w:r>
        <w:rPr>
          <w:i/>
        </w:rPr>
        <w:t>底线。把 AI 当作助手而非大脑，才能在开放竞争中站稳脚跟。</w:t>
      </w:r>
    </w:p>
    <w:p>
      <w:pPr>
        <w:ind w:left="432"/>
      </w:pPr>
      <w:r>
        <w:rPr>
          <w:b/>
          <w:i/>
        </w:rPr>
        <w:t>思政案例（课程思政示范案例 / AI 思政课 知识库）</w:t>
      </w:r>
      <w:r>
        <w:rPr>
          <w:i/>
        </w:rPr>
        <w:t>：可参照“人工智能赋能大思政课”（宫长瑞）“伦理为先，技术为器；教师为主，技术为辅”，以及“人工智能在数字思政中的主体之争”（黄闪闪）“智能系统不能成为教学主体”的论断，并呼应人民日报“新型举国体制、自立自强”的导向——把 AI 当助手，不走被卡脖子之路。</w:t>
      </w:r>
    </w:p>
    <w:p>
      <w:pPr>
        <w:pStyle w:val="Heading3"/>
      </w:pPr>
      <w:r>
        <w:t>11.12 讨论：人机协同——学术工作的重新分工</w:t>
      </w:r>
    </w:p>
    <w:p>
      <w:r>
        <w:t>大模型之后，学术工作正在被重新切分。有学者将这一变化概括为：科研正从"人类单一思辨"迈向</w:t>
      </w:r>
      <w:r>
        <w:rPr>
          <w:b/>
        </w:rPr>
        <w:t>人机协同认知共生</w:t>
      </w:r>
      <w:r>
        <w:t>——AI 不再只是检索与润色的工具，而开始在知识生成、理论扩展与范式重构中扮演</w:t>
      </w:r>
      <w:r>
        <w:rPr>
          <w:b/>
        </w:rPr>
        <w:t>认知协作者</w:t>
      </w:r>
      <w:r>
        <w:t>的角色。</w:t>
      </w:r>
    </w:p>
    <w:p>
      <w:r>
        <w:rPr>
          <w:b/>
        </w:rPr>
        <w:t>分工大致是这样划的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主要由谁承担</w:t>
            </w:r>
          </w:p>
        </w:tc>
      </w:tr>
      <w:tr>
        <w:tc>
          <w:tcPr>
            <w:tcW w:type="dxa" w:w="4320"/>
          </w:tcPr>
          <w:p>
            <w:r/>
            <w:r>
              <w:t>文献检索、数据清洗、模型运算、结果可视化</w:t>
            </w:r>
          </w:p>
        </w:tc>
        <w:tc>
          <w:tcPr>
            <w:tcW w:type="dxa" w:w="4320"/>
          </w:tcPr>
          <w:p>
            <w:r/>
            <w:r>
              <w:t>AI（基础性、程序性工作）</w:t>
            </w:r>
          </w:p>
        </w:tc>
      </w:tr>
      <w:tr>
        <w:tc>
          <w:tcPr>
            <w:tcW w:type="dxa" w:w="4320"/>
          </w:tcPr>
          <w:p>
            <w:r/>
            <w:r>
              <w:t>提出问题、研究设计、价值权衡、理论综合、核心阐释</w:t>
            </w:r>
          </w:p>
        </w:tc>
        <w:tc>
          <w:tcPr>
            <w:tcW w:type="dxa" w:w="4320"/>
          </w:tcPr>
          <w:p>
            <w:r/>
            <w:r>
              <w:t>人（创造性、判断性工作）</w:t>
            </w:r>
          </w:p>
        </w:tc>
      </w:tr>
    </w:tbl>
    <w:p>
      <w:r>
        <w:rPr>
          <w:b/>
        </w:rPr>
        <w:t>一句要记住的话</w:t>
      </w:r>
      <w:r>
        <w:t>：最终的判断力、对问题的定义权、核心的阐释和叙事，依然在人。有学者说得直白——</w:t>
      </w:r>
      <w:r>
        <w:rPr>
          <w:b/>
        </w:rPr>
        <w:t>"你强他就强"</w:t>
      </w:r>
      <w:r>
        <w:t>：你对所在领域理解越深，越能提出好问题，AI 带来的启发才越大；反之，AI 只会放大你的含糊。苏州大学张朋川教授在 2026 年第二届 CCF 人文智能大会上亦指出：</w:t>
      </w:r>
      <w:r>
        <w:rPr>
          <w:b/>
        </w:rPr>
        <w:t>人的框架体系思维，最终决定了人工智能工具所能抵达的格局</w:t>
      </w:r>
      <w:r>
        <w:t>。</w:t>
      </w:r>
    </w:p>
    <w:p>
      <w:r>
        <w:rPr>
          <w:b/>
        </w:rPr>
        <w:t>一个可感的例子</w:t>
      </w:r>
      <w:r>
        <w:t>：面向甲骨文研究的智能体（腾讯与安阳师范学院合作）把大模型与专业数据库结合，学者用自然语言就能查询、比对甲骨文资料——技术能力被封装成随叫随到的"研究伙伴"。这类"把工具变成伙伴"的实践，正在古籍、档案、博物馆等领域快速铺开；该届大会亦以"数据驱动 + 计算建模 + 智能生成"概括这一新范式。</w:t>
      </w:r>
    </w:p>
    <w:p>
      <w:r>
        <w:rPr>
          <w:b/>
        </w:rPr>
        <w:t>伴随的挑战有三个</w:t>
      </w:r>
      <w:r>
        <w:t>：</w:t>
      </w:r>
    </w:p>
    <w:p>
      <w:pPr>
        <w:pStyle w:val="ListBullet"/>
      </w:pPr>
      <w:r>
        <w:rPr>
          <w:b/>
        </w:rPr>
        <w:t>责任归属</w:t>
      </w:r>
      <w:r>
        <w:t>：AI 生成的错误由谁负责？署名里要不要写 AI？（回看 11.6 的红线）</w:t>
      </w:r>
    </w:p>
    <w:p>
      <w:pPr>
        <w:pStyle w:val="ListBullet"/>
      </w:pPr>
      <w:r>
        <w:rPr>
          <w:b/>
        </w:rPr>
        <w:t>能力退化</w:t>
      </w:r>
      <w:r>
        <w:t>：过度外包基础工作，判断力会不会一起萎缩？</w:t>
      </w:r>
    </w:p>
    <w:p>
      <w:pPr>
        <w:pStyle w:val="ListBullet"/>
      </w:pPr>
      <w:r>
        <w:rPr>
          <w:b/>
        </w:rPr>
        <w:t>评价失据</w:t>
      </w:r>
      <w:r>
        <w:t>：当 AI 能承担大部分程序性工作，如何评价一个人的学术贡献？有建议提出在评审中试点</w:t>
      </w:r>
      <w:r>
        <w:rPr>
          <w:b/>
        </w:rPr>
        <w:t>"研究者贡献指标"</w:t>
      </w:r>
      <w:r>
        <w:t>——要求学者说明自己在问题提出、价值权衡、理论综合等核心环节的独创性贡献，与 AI 承担的基础性工作明确区隔。</w:t>
      </w:r>
    </w:p>
    <w:p>
      <w:pPr>
        <w:ind w:left="432"/>
      </w:pPr>
      <w:r>
        <w:rPr>
          <w:b/>
          <w:i/>
        </w:rPr>
        <w:t>制度正在跟上</w:t>
      </w:r>
      <w:r>
        <w:rPr>
          <w:i/>
        </w:rPr>
        <w:t>：中国社会科学院在推进人机融合科研时强调"</w:t>
      </w:r>
      <w:r>
        <w:rPr>
          <w:b/>
          <w:i/>
        </w:rPr>
        <w:t>约束与赋能并重</w:t>
      </w:r>
      <w:r>
        <w:rPr>
          <w:i/>
        </w:rPr>
        <w:t>"——既立规矩，也建智算中心、改评价机制、育复合人才；只立规矩不给支撑，只会让人"不敢用、不会用"。这与本课程的态度一致：鼓励用 AI 提效，零容忍用 AI 作弊。</w:t>
      </w:r>
    </w:p>
    <w:p>
      <w:pPr>
        <w:pStyle w:val="Heading3"/>
      </w:pPr>
      <w:r>
        <w:t>模块十一·学术前沿：OpenAlex / DBLP / arXiv / CrossRef / CORE 实证文献（V2.1）</w:t>
      </w:r>
    </w:p>
    <w:p>
      <w:r>
        <w:t>下表为通过 OpenAlex（开放学术图谱，聚合期刊/会议/预印本）、DBLP（CS 会议期刊，含 SIGIR/UIST/DH/IJDAR/EPIA）、arXiv（预印本）、CrossRef（期刊 DOI 元数据）、CORE（开放获取库）检索到的真实文献，按来源/被引排序，供延伸阅读与实验报告引用。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[Applications of AI Chatbots Based on Generative AI, Large Language Models and Large Multimodal Models](https://doi.org/10.36227/techrxiv.173121409.91676949/v1)</w:t>
            </w:r>
          </w:p>
        </w:tc>
        <w:tc>
          <w:tcPr>
            <w:tcW w:type="dxa" w:w="2160"/>
          </w:tcPr>
          <w:p>
            <w:r/>
            <w:r>
              <w:t>（被引 18）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[Large Language Models](https://doi.org/10.1007/978-1-4842-9367-6_5)</w:t>
            </w:r>
          </w:p>
        </w:tc>
        <w:tc>
          <w:tcPr>
            <w:tcW w:type="dxa" w:w="2160"/>
          </w:tcPr>
          <w:p>
            <w:r/>
            <w:r>
              <w:t>Generative AI（被引 9）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[Imperfectly Perfect AI Chatbots: Limitations of Generative AI, Large Language Models and Large Multimodal Models](https://doi.org/10.36227/techrxiv.173121396.62005552/v2)</w:t>
            </w:r>
          </w:p>
        </w:tc>
        <w:tc>
          <w:tcPr>
            <w:tcW w:type="dxa" w:w="2160"/>
          </w:tcPr>
          <w:p>
            <w:r/>
            <w:r>
              <w:t>（被引 8）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[Impacts and Implications of Generative AI and Large Language Models: Redefining Banking Sector](https://doi.org/10.52783/jier.v4i2.767)</w:t>
            </w:r>
          </w:p>
        </w:tc>
        <w:tc>
          <w:tcPr>
            <w:tcW w:type="dxa" w:w="2160"/>
          </w:tcPr>
          <w:p>
            <w:r/>
            <w:r>
              <w:t>Journal of Informatics Education and Research（被引 5）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[Introduction to Generative AI and Large Language Models (LLMs)](https://doi.org/10.1007/979-8-8688-1001-5_1)</w:t>
            </w:r>
          </w:p>
        </w:tc>
        <w:tc>
          <w:tcPr>
            <w:tcW w:type="dxa" w:w="2160"/>
          </w:tcPr>
          <w:p>
            <w:r/>
            <w:r>
              <w:t>Mastering Spring AI（被引 4）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[Generative AI in pharmaceutical R&amp;amp;D: From large language models to AI agents to regulation](https://doi.org/10.1016/j.drudis.2025.104593)</w:t>
            </w:r>
          </w:p>
        </w:tc>
        <w:tc>
          <w:tcPr>
            <w:tcW w:type="dxa" w:w="2160"/>
          </w:tcPr>
          <w:p>
            <w:r/>
            <w:r>
              <w:t>Drug Discovery Today（被引 3）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[AI Agents](https://doi.org/10.1007/978-3-658-49218-2_7)</w:t>
            </w:r>
          </w:p>
        </w:tc>
        <w:tc>
          <w:tcPr>
            <w:tcW w:type="dxa" w:w="2160"/>
          </w:tcPr>
          <w:p>
            <w:r/>
            <w:r>
              <w:t>Prompt Engineering in the Enterprise – An Introduction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[Generative AI and Large Language Models](https://doi.org/10.3390/books978-3-7258-7704-1)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</w:rPr>
        <w:t>课堂复现（检索即方法）</w:t>
      </w:r>
      <w:r>
        <w:t>：下列代码直接调用 OpenAlex 免费 API 复现本模块文献检索（无需密钥）。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'data science digital humanities'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 = 'https://api.openalex.org/works?search=' + urllib.parse.quote(q) + '&amp;per_page=10&amp;sort=cited_by_count:desc'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oa['results']: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print(w['publication_year'], w['title'], '-&gt;', (w.get('primary_location') or {}).get('source', {}).get('display_name'))</w:t>
      </w:r>
    </w:p>
    <w:p>
      <w:r>
        <w:rPr>
          <w:b/>
        </w:rPr>
        <w:t>误用警示</w:t>
      </w:r>
      <w:r>
        <w:t>：① arXiv 预印本未经同行评审，引用须标 preprint 并追正式版；② 被引数代表影响力非结论正确；③ 商业库（WoS/Scopus/Elsevier/JSTOR/CNKI）本环境无订阅，需机构账号获取后再并入。</w:t>
      </w:r>
    </w:p>
    <w:p>
      <w:r>
        <w:rPr>
          <w:b/>
        </w:rPr>
        <w:t>与实验衔接</w:t>
      </w:r>
      <w:r>
        <w:t>：将任一方法对照本模块实验改写数据集或提示词，即可形成有学术依据的结题报告。</w:t>
      </w:r>
    </w:p>
    <w:p>
      <w:pPr>
        <w:pStyle w:val="Heading3"/>
      </w:pPr>
      <w:r>
        <w:t>模块十一·中文核心期刊文献实证（V2.2·19 种图情档核心期刊）</w:t>
      </w:r>
    </w:p>
    <w:p>
      <w:r>
        <w:t>下表论文来自 19 种中文图情档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[智慧图书馆建设过程中技术元素分析及知识图谱构建研究](https://doi.org/10.13266/j.issn.0252-3116.2024.09.012)</w:t>
            </w:r>
          </w:p>
        </w:tc>
        <w:tc>
          <w:tcPr>
            <w:tcW w:type="dxa" w:w="2160"/>
          </w:tcPr>
          <w:p>
            <w:r/>
            <w:r>
              <w:t>程秀峰, 曹琪, 蒋开宸, 周梦蝶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[古籍智能信息处理研究现状](https://doi.org/10.13266/j.issn.0252-3116.2024.23.010)</w:t>
            </w:r>
          </w:p>
        </w:tc>
        <w:tc>
          <w:tcPr>
            <w:tcW w:type="dxa" w:w="2160"/>
          </w:tcPr>
          <w:p>
            <w:r/>
            <w:r>
              <w:t>刘洋, 王东波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[大语言模型背景下文献的跨学科知识组织和可视化研究](https://doi.org/10.13266/j.issn.0252-3116.2024.23.002)</w:t>
            </w:r>
          </w:p>
        </w:tc>
        <w:tc>
          <w:tcPr>
            <w:tcW w:type="dxa" w:w="2160"/>
          </w:tcPr>
          <w:p>
            <w:r/>
            <w:r>
              <w:t>姜霖, 顾继光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[Comparative Study on ChatGPT and Scholars' Abstracts](https://doi.org/10.13266/j.issn.0252-3116.2024.08.004)</w:t>
            </w:r>
          </w:p>
        </w:tc>
        <w:tc>
          <w:tcPr>
            <w:tcW w:type="dxa" w:w="2160"/>
          </w:tcPr>
          <w:p>
            <w:r/>
            <w:r>
              <w:t>张强, 王潇冉, 高颖, 王常珏, 周洪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[ChatGPT生成综述的质量评测与应用策略](https://doi.org/10.13266/j.issn.0252-3116.2024.18.004)</w:t>
            </w:r>
          </w:p>
        </w:tc>
        <w:tc>
          <w:tcPr>
            <w:tcW w:type="dxa" w:w="2160"/>
          </w:tcPr>
          <w:p>
            <w:r/>
            <w:r>
              <w:t>林鑫, 刘泽妃</w:t>
            </w:r>
          </w:p>
        </w:tc>
      </w:tr>
      <w:tr>
        <w:tc>
          <w:tcPr>
            <w:tcW w:type="dxa" w:w="2160"/>
          </w:tcPr>
          <w:p>
            <w:r/>
            <w:r>
              <w:t>数据分析与知识发现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[基于ChatGPT+Prompt的专利技术功效实体自动生成研究](https://doi.org/10.11925/infotech.2096-3467.2023.0737)</w:t>
            </w:r>
          </w:p>
        </w:tc>
        <w:tc>
          <w:tcPr>
            <w:tcW w:type="dxa" w:w="2160"/>
          </w:tcPr>
          <w:p>
            <w:r/>
            <w:r>
              <w:t>白如江, 陈启明, 张玉洁 等</w:t>
            </w:r>
          </w:p>
        </w:tc>
      </w:tr>
      <w:tr>
        <w:tc>
          <w:tcPr>
            <w:tcW w:type="dxa" w:w="2160"/>
          </w:tcPr>
          <w:p>
            <w:r/>
            <w:r>
              <w:t>情报理论与实践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[融合大语言模型的国防科技情报智能感知系统构建及应用研究](https://doi.org/10.16353/j.cnki.1000-7490.2024.04.006)</w:t>
            </w:r>
          </w:p>
        </w:tc>
        <w:tc>
          <w:tcPr>
            <w:tcW w:type="dxa" w:w="2160"/>
          </w:tcPr>
          <w:p>
            <w:r/>
            <w:r>
              <w:t>林卓, 张福山, 陈乐</w:t>
            </w:r>
          </w:p>
        </w:tc>
      </w:tr>
      <w:tr>
        <w:tc>
          <w:tcPr>
            <w:tcW w:type="dxa" w:w="2160"/>
          </w:tcPr>
          <w:p>
            <w:r/>
            <w:r>
              <w:t>情报理论与实践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[AIGC驱动的智慧图书馆转型:框架、路径与挑战](https://doi.org/10.16353/j.cnki.1000-7490.2023.07.002)</w:t>
            </w:r>
          </w:p>
        </w:tc>
        <w:tc>
          <w:tcPr>
            <w:tcW w:type="dxa" w:w="2160"/>
          </w:tcPr>
          <w:p>
            <w:r/>
            <w:r>
              <w:t>赵杨, 张雪, 范圣悦</w:t>
            </w:r>
          </w:p>
        </w:tc>
      </w:tr>
    </w:tbl>
    <w:p>
      <w:r>
        <w:rPr>
          <w:b/>
        </w:rPr>
        <w:t>课堂复现（中文文献检索）</w:t>
      </w:r>
      <w:r>
        <w:t>：这些期刊正式全文多见于 CNKI/万方/维普（本环境无订阅）。可在机构网络以「期刊名 + 主题词」检索，导出 BibTeX/RIS 后交我并入；DOI 可在 https://doi.org/&lt;DOI&gt; 溯源摘要。</w:t>
      </w:r>
    </w:p>
    <w:p>
      <w:r>
        <w:rPr>
          <w:b/>
        </w:rPr>
        <w:t>误用警示</w:t>
      </w:r>
      <w:r>
        <w:t>：① 引用以期刊正式版本为准（年/卷/期/页）；② 回到原文核对方法与数据；③ 与本节实验的映射是"启发"而非"背书"。</w:t>
      </w:r>
    </w:p>
    <w:p>
      <w:r>
        <w:rPr>
          <w:b/>
        </w:rPr>
        <w:t>与实验衔接</w:t>
      </w:r>
      <w:r>
        <w:t>：将上表任一中文方法（如中文知识图谱、机器学习人文应用）对照本模块实验改写，即可形成有本土学术依据的结题报告。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模块十一　大语言模型与生成式 AI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