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300" w:line="240" w:lineRule="auto"/>
        <w:rPr/>
      </w:pPr>
      <w:bookmarkStart w:colFirst="0" w:colLast="0" w:name="_1rzmv2drvv8u" w:id="0"/>
      <w:bookmarkEnd w:id="0"/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Applications Team - Coding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pBdr>
          <w:bottom w:color="000000" w:space="2" w:sz="8" w:val="single"/>
        </w:pBdr>
        <w:spacing w:after="240" w:before="120" w:line="240" w:lineRule="auto"/>
        <w:rPr>
          <w:sz w:val="36"/>
          <w:szCs w:val="36"/>
        </w:rPr>
      </w:pPr>
      <w:bookmarkStart w:colFirst="0" w:colLast="0" w:name="_idb4rhesr2a3" w:id="1"/>
      <w:bookmarkEnd w:id="1"/>
      <w:r w:rsidDel="00000000" w:rsidR="00000000" w:rsidRPr="00000000">
        <w:rPr>
          <w:color w:val="1155cc"/>
          <w:sz w:val="36"/>
          <w:szCs w:val="36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color w:val="1155cc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iz44eu38re0e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8"/>
                <w:szCs w:val="28"/>
                <w:rtl w:val="0"/>
              </w:rPr>
              <w:t xml:space="preserve">Revision Control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Calibri" w:cs="Calibri" w:eastAsia="Calibri" w:hAnsi="Calibri"/>
              <w:color w:val="1155cc"/>
              <w:sz w:val="28"/>
              <w:szCs w:val="28"/>
            </w:rPr>
          </w:pPr>
          <w:hyperlink w:anchor="_2gyqpotlr1c3">
            <w:r w:rsidDel="00000000" w:rsidR="00000000" w:rsidRPr="00000000">
              <w:rPr>
                <w:rFonts w:ascii="Calibri" w:cs="Calibri" w:eastAsia="Calibri" w:hAnsi="Calibri"/>
                <w:color w:val="1155cc"/>
                <w:sz w:val="28"/>
                <w:szCs w:val="28"/>
                <w:rtl w:val="0"/>
              </w:rPr>
              <w:t xml:space="preserve">Branching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60" w:line="240" w:lineRule="auto"/>
            <w:ind w:left="360" w:right="0" w:firstLine="0"/>
            <w:jc w:val="left"/>
            <w:rPr>
              <w:rFonts w:ascii="Calibri" w:cs="Calibri" w:eastAsia="Calibri" w:hAnsi="Calibri"/>
              <w:color w:val="1155cc"/>
              <w:sz w:val="28"/>
              <w:szCs w:val="28"/>
            </w:rPr>
          </w:pPr>
          <w:hyperlink w:anchor="_s15ktvvpnyzk">
            <w:r w:rsidDel="00000000" w:rsidR="00000000" w:rsidRPr="00000000">
              <w:rPr>
                <w:rFonts w:ascii="Calibri" w:cs="Calibri" w:eastAsia="Calibri" w:hAnsi="Calibri"/>
                <w:color w:val="1155cc"/>
                <w:sz w:val="28"/>
                <w:szCs w:val="28"/>
                <w:rtl w:val="0"/>
              </w:rPr>
              <w:t xml:space="preserve">Versioning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pjz6zvv6e5is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8"/>
                <w:szCs w:val="28"/>
                <w:rtl w:val="0"/>
              </w:rPr>
              <w:t xml:space="preserve">C# (.NET) Coding Standards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60" w:line="240" w:lineRule="auto"/>
            <w:ind w:left="1080" w:firstLine="0"/>
            <w:rPr>
              <w:color w:val="1155cc"/>
              <w:u w:val="singl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pBdr>
          <w:bottom w:color="000000" w:space="2" w:sz="8" w:val="single"/>
        </w:pBdr>
        <w:spacing w:after="240" w:before="120" w:line="240" w:lineRule="auto"/>
        <w:rPr>
          <w:sz w:val="36"/>
          <w:szCs w:val="36"/>
        </w:rPr>
      </w:pPr>
      <w:bookmarkStart w:colFirst="0" w:colLast="0" w:name="_iz44eu38re0e" w:id="2"/>
      <w:bookmarkEnd w:id="2"/>
      <w:r w:rsidDel="00000000" w:rsidR="00000000" w:rsidRPr="00000000">
        <w:rPr>
          <w:color w:val="1155cc"/>
          <w:sz w:val="36"/>
          <w:szCs w:val="36"/>
          <w:rtl w:val="0"/>
        </w:rPr>
        <w:t xml:space="preserve">Revision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widowControl w:val="0"/>
        <w:spacing w:after="240" w:before="120" w:line="240" w:lineRule="auto"/>
        <w:rPr>
          <w:sz w:val="28"/>
          <w:szCs w:val="28"/>
        </w:rPr>
      </w:pPr>
      <w:bookmarkStart w:colFirst="0" w:colLast="0" w:name="_2gyqpotlr1c3" w:id="3"/>
      <w:bookmarkEnd w:id="3"/>
      <w:r w:rsidDel="00000000" w:rsidR="00000000" w:rsidRPr="00000000">
        <w:rPr>
          <w:color w:val="1155cc"/>
          <w:sz w:val="28"/>
          <w:szCs w:val="28"/>
          <w:rtl w:val="0"/>
        </w:rPr>
        <w:t xml:space="preserve">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2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791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35" l="21701" r="15036" t="10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spacing w:after="240" w:before="120" w:line="240" w:lineRule="auto"/>
        <w:rPr/>
      </w:pPr>
      <w:bookmarkStart w:colFirst="0" w:colLast="0" w:name="_s15ktvvpnyzk" w:id="4"/>
      <w:bookmarkEnd w:id="4"/>
      <w:r w:rsidDel="00000000" w:rsidR="00000000" w:rsidRPr="00000000">
        <w:rPr>
          <w:color w:val="1155cc"/>
          <w:sz w:val="28"/>
          <w:szCs w:val="28"/>
          <w:rtl w:val="0"/>
        </w:rPr>
        <w:t xml:space="preserve">Versioning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version number MAJOR.MINOR.PATCH, increment the: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MAJOR version when you make incompatible API changes,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MINOR version when you add functionality in a backwards compatible manner, and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PATCH version when you make backwards compatible bug fixes.</w:t>
      </w:r>
    </w:p>
    <w:p w:rsidR="00000000" w:rsidDel="00000000" w:rsidP="00000000" w:rsidRDefault="00000000" w:rsidRPr="00000000" w14:paraId="00000023">
      <w:pPr>
        <w:shd w:fill="ffffff" w:val="clear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2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Additional labels for pre-release and build metadata are available as extensions to the MAJOR.MINOR.PATCH format.</w:t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erujkx45i7k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kzrc34gs4cm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wf3ecaa0klk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2vg2t32e2h0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vgkyy5s00jy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ngmn2lltwjw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bbj0r0a3b7o0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loq086d14ev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</w:rPr>
      </w:pPr>
      <w:bookmarkStart w:colFirst="0" w:colLast="0" w:name="_q3zjze78jqq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widowControl w:val="0"/>
        <w:pBdr>
          <w:bottom w:color="000000" w:space="2" w:sz="8" w:val="single"/>
        </w:pBdr>
        <w:spacing w:after="240" w:before="120" w:line="240" w:lineRule="auto"/>
        <w:rPr>
          <w:b w:val="1"/>
          <w:color w:val="24292e"/>
        </w:rPr>
      </w:pPr>
      <w:bookmarkStart w:colFirst="0" w:colLast="0" w:name="_pjz6zvv6e5is" w:id="14"/>
      <w:bookmarkEnd w:id="14"/>
      <w:r w:rsidDel="00000000" w:rsidR="00000000" w:rsidRPr="00000000">
        <w:rPr>
          <w:color w:val="1155cc"/>
          <w:sz w:val="36"/>
          <w:szCs w:val="36"/>
          <w:rtl w:val="0"/>
        </w:rPr>
        <w:t xml:space="preserve">C# (.NET) Coding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240" w:before="360" w:line="300" w:lineRule="auto"/>
        <w:ind w:left="-270" w:firstLine="0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66izu4pc6oip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1. Use PascalCasing for class names and method names: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ClientActivity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ClearStatistics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CalculateStatistics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Calibri" w:cs="Calibri" w:eastAsia="Calibri" w:hAnsi="Calibri"/>
          <w:i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toz1unl6ebzk" w:id="16"/>
      <w:bookmarkEnd w:id="16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2. Use camelCasing for method arguments and local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UserLog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LogEvent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logEvent)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itemCount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logEvent.Items.Count;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}</w:t>
      </w:r>
    </w:p>
    <w:p w:rsidR="00000000" w:rsidDel="00000000" w:rsidP="00000000" w:rsidRDefault="00000000" w:rsidRPr="00000000" w14:paraId="0000004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easy to read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b w:val="1"/>
          <w:color w:val="24292e"/>
        </w:rPr>
      </w:pPr>
      <w:bookmarkStart w:colFirst="0" w:colLast="0" w:name="_qd29q5918lqi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3. Do not use Hungarian notation or any other type identification in 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counter;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name;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Avoid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iCounter;</w:t>
      </w:r>
    </w:p>
    <w:p w:rsidR="00000000" w:rsidDel="00000000" w:rsidP="00000000" w:rsidRDefault="00000000" w:rsidRPr="00000000" w14:paraId="0000005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strName;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Visual Studio IDE makes determining types very easy (via tooltips). In general you want to avoid type indicators in any identifier.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m5xaqnp6cv96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4. Do not use Screaming Caps for constants or readonly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ShippingType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"DropShip"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Avoid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SHIPPINGTYPE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"DropShip"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Framework. Caps grab too much attention.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ur3247fztza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5. Use meaningful names for variables. The following example uses seattleCustomers for customers who are located in Seattle: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seattleCustomers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customers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customer.City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"Seattle"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customer.Name;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easy to 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xh3chaj219xt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6. Avoid using Abbreviations. Exceptions: abbreviations commonly used as names, such as Id, Xml, Ftp, Uri.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UserGroup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userGroup;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employeeAssignment;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Avoid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UserGroup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usrGrp;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Assignment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empAssignment;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CustomerId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customerId;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XmlDocument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xmlDocument;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FtpHelper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ftpHelper;</w:t>
      </w:r>
    </w:p>
    <w:p w:rsidR="00000000" w:rsidDel="00000000" w:rsidP="00000000" w:rsidRDefault="00000000" w:rsidRPr="00000000" w14:paraId="0000006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UriPart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uriPart;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prevents inconsistent abbreviations.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hj7mk9wkfjq9" w:id="21"/>
      <w:bookmarkEnd w:id="21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7. Use PascalCasing for abbreviations 3 characters or more (2 chars are both uppercase):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HtmlHelper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htmlHelper;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FtpTransfer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ftpTransfer;</w:t>
      </w:r>
    </w:p>
    <w:p w:rsidR="00000000" w:rsidDel="00000000" w:rsidP="00000000" w:rsidRDefault="00000000" w:rsidRPr="00000000" w14:paraId="0000007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UIControl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uiControl;</w:t>
      </w:r>
    </w:p>
    <w:p w:rsidR="00000000" w:rsidDel="00000000" w:rsidP="00000000" w:rsidRDefault="00000000" w:rsidRPr="00000000" w14:paraId="00000071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Framework. Caps would grab visually too much attention.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tp3o58oi2l0o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8. Do not use Underscores in identifiers. Exception: you can prefix private fields with an underscore: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clientAppointment;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TimeSpan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timeLeft;   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Avoid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client_Appointment;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TimeSpan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time_Left;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Exception (Class field)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_registrationDate;</w:t>
      </w:r>
    </w:p>
    <w:p w:rsidR="00000000" w:rsidDel="00000000" w:rsidP="00000000" w:rsidRDefault="00000000" w:rsidRPr="00000000" w14:paraId="0000007D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makes code more natural to read (without 'slur'). Also avoids underline stress (inability to see underline).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4a0rlycu3mhn" w:id="23"/>
      <w:bookmarkEnd w:id="23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9. Use predefined type names (C# aliases) like</w:t>
      </w:r>
      <w:r w:rsidDel="00000000" w:rsidR="00000000" w:rsidRPr="00000000">
        <w:rPr>
          <w:b w:val="1"/>
          <w:color w:val="24292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int</w:t>
      </w:r>
      <w:r w:rsidDel="00000000" w:rsidR="00000000" w:rsidRPr="00000000">
        <w:rPr>
          <w:b w:val="1"/>
          <w:color w:val="24292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float</w:t>
      </w:r>
      <w:r w:rsidDel="00000000" w:rsidR="00000000" w:rsidRPr="00000000">
        <w:rPr>
          <w:b w:val="1"/>
          <w:color w:val="24292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string</w:t>
      </w:r>
      <w:r w:rsidDel="00000000" w:rsidR="00000000" w:rsidRPr="00000000">
        <w:rPr>
          <w:b w:val="1"/>
          <w:color w:val="24292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for local, parameter and member declarations. </w:t>
      </w:r>
      <w:r w:rsidDel="00000000" w:rsidR="00000000" w:rsidRPr="00000000">
        <w:rPr>
          <w:b w:val="1"/>
          <w:color w:val="24292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Use .NET Framework names like</w:t>
      </w:r>
      <w:r w:rsidDel="00000000" w:rsidR="00000000" w:rsidRPr="00000000">
        <w:rPr>
          <w:b w:val="1"/>
          <w:color w:val="24292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Int32</w:t>
      </w:r>
      <w:r w:rsidDel="00000000" w:rsidR="00000000" w:rsidRPr="00000000">
        <w:rPr>
          <w:b w:val="1"/>
          <w:color w:val="24292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Single</w:t>
      </w:r>
      <w:r w:rsidDel="00000000" w:rsidR="00000000" w:rsidRPr="00000000">
        <w:rPr>
          <w:b w:val="1"/>
          <w:color w:val="24292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String</w:t>
      </w:r>
      <w:r w:rsidDel="00000000" w:rsidR="00000000" w:rsidRPr="00000000">
        <w:rPr>
          <w:b w:val="1"/>
          <w:color w:val="24292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when accessing the type's static members like</w:t>
      </w:r>
      <w:r w:rsidDel="00000000" w:rsidR="00000000" w:rsidRPr="00000000">
        <w:rPr>
          <w:b w:val="1"/>
          <w:color w:val="24292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Int32.TryParse</w:t>
      </w:r>
      <w:r w:rsidDel="00000000" w:rsidR="00000000" w:rsidRPr="00000000">
        <w:rPr>
          <w:b w:val="1"/>
          <w:color w:val="24292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rtl w:val="0"/>
        </w:rPr>
        <w:t xml:space="preserve">String.Join</w:t>
      </w:r>
      <w:r w:rsidDel="00000000" w:rsidR="00000000" w:rsidRPr="00000000">
        <w:rPr>
          <w:b w:val="1"/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firstName;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lastIndex;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isSaved;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commaSeparatedNames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String.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names);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Int32.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(input);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Avoid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firstName;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Int32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lastIndex;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isSaved;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commaSeparatedNames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string.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shd w:fill="f6f8fa" w:val="clear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names);</w:t>
      </w:r>
    </w:p>
    <w:p w:rsidR="00000000" w:rsidDel="00000000" w:rsidP="00000000" w:rsidRDefault="00000000" w:rsidRPr="00000000" w14:paraId="0000008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int.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(input);</w:t>
      </w:r>
    </w:p>
    <w:p w:rsidR="00000000" w:rsidDel="00000000" w:rsidP="00000000" w:rsidRDefault="00000000" w:rsidRPr="00000000" w14:paraId="0000008B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makes code more natural to read.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25kvwq6w96s" w:id="24"/>
      <w:bookmarkEnd w:id="24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10. Use implicit type var for local variable declarations. Exception: primitive types (int, string, double, etc) use predefined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stream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File.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(path);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timeSheet;</w:t>
      </w:r>
    </w:p>
    <w:p w:rsidR="00000000" w:rsidDel="00000000" w:rsidP="00000000" w:rsidRDefault="00000000" w:rsidRPr="00000000" w14:paraId="00000093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isCompleted;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removes clutter, particularly with complex generic types. Type is easily detected with Visual Studio tooltips.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gqi64axvn9zl" w:id="25"/>
      <w:bookmarkEnd w:id="25"/>
      <w:r w:rsidDel="00000000" w:rsidR="00000000" w:rsidRPr="00000000">
        <w:rPr>
          <w:b w:val="1"/>
          <w:color w:val="24292e"/>
          <w:rtl w:val="0"/>
        </w:rPr>
        <w:t xml:space="preserve">11.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 Do use noun or noun phrases to name a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BusinessLocation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DocumentCollection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easy to remember</w:t>
      </w:r>
      <w:r w:rsidDel="00000000" w:rsidR="00000000" w:rsidRPr="00000000">
        <w:rPr>
          <w:i w:val="1"/>
          <w:color w:val="24292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oucwzq5w9610" w:id="26"/>
      <w:bookmarkEnd w:id="26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12. Do prefix interfaces with the letter I. Interface names are noun (phrases) or adjectives.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IShapeCollection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IGroupable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240" w:lineRule="auto"/>
        <w:ind w:left="-300" w:right="0" w:firstLine="0"/>
        <w:jc w:val="left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69123459m8ts" w:id="27"/>
      <w:bookmarkEnd w:id="27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13. Name source files according to their main classes. Exception: file names with partial classes reflect their source or purpose, e.g. designer, generated, etc.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Located in Task.cs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Located in Task.generated.cs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 practices. Files are alphabetically sorted and partial classes remain adjacent.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h74f7rwspqme" w:id="28"/>
      <w:bookmarkEnd w:id="28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14. Organize namespaces with a clearly defined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Company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SubModule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Layer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Framework. Maintains good organization of your code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seru91jt90nj" w:id="29"/>
      <w:bookmarkEnd w:id="29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15. Vertically align curly brackets: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[] args)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Microsoft has a different standard, but developers have overwhelmingly preferred vertically aligned brackets.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wd66txffcrh1" w:id="30"/>
      <w:bookmarkEnd w:id="30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16. Declare all member variables at the top of a class, with static variables at the very 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BankName;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Reserves;      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Number {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 }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DateOpened {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 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DateClosed {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Balance {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; }    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Constructor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}</w:t>
      </w:r>
    </w:p>
    <w:p w:rsidR="00000000" w:rsidDel="00000000" w:rsidP="00000000" w:rsidRDefault="00000000" w:rsidRPr="00000000" w14:paraId="000000DB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generally accepted practice that prevents the need to hunt for variable declarations.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3s9cf7358fav" w:id="31"/>
      <w:bookmarkEnd w:id="31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17. Use singular names for enums. Exception: bit field enums.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Magenta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Cyan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]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Dockings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0F3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makes the code more natural to read. Plural flags because enum can hold multiple values (using bitwise 'OR').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4cuoj03ehvkw" w:id="32"/>
      <w:bookmarkEnd w:id="32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18. Do not explicitly specify a type of an enum or values of enums (except bit fields):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Don't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West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 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East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South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West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can create confusion when relying on actual types and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</w:rPr>
      </w:pPr>
      <w:bookmarkStart w:colFirst="0" w:colLast="0" w:name="_1hfttf2xw6ac" w:id="33"/>
      <w:bookmarkEnd w:id="33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19. Do not use an "Enum" suffix in enum type names: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Don't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CoinEnum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Penny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Nickel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Dime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Coin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Penny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Nickel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Dime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Dollar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1B">
      <w:pPr>
        <w:shd w:fill="ffffff" w:val="clear"/>
        <w:spacing w:after="240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consistent with prior rule of no type indicators in identifiers.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2ke7jn8u8b8p" w:id="34"/>
      <w:bookmarkEnd w:id="34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20. Do not use "Flag" or "Flags" suffixes in enum type names: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Don't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]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DockingsFlags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]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Dockings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 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,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shd w:fill="f6f8fa" w:val="clear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32">
      <w:pPr>
        <w:shd w:fill="ffffff" w:val="clear"/>
        <w:spacing w:after="240" w:lineRule="auto"/>
        <w:rPr>
          <w:rFonts w:ascii="Calibri" w:cs="Calibri" w:eastAsia="Calibri" w:hAnsi="Calibri"/>
          <w:i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consistent with prior rule of no type indicators in identifiers.</w:t>
      </w:r>
    </w:p>
    <w:p w:rsidR="00000000" w:rsidDel="00000000" w:rsidP="00000000" w:rsidRDefault="00000000" w:rsidRPr="00000000" w14:paraId="00000133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vwkol2ufhebw" w:id="35"/>
      <w:bookmarkEnd w:id="35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21. Use suffix EventArgs at creation of the new classes comprising the information on event: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BarcodeReadEventArgs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EventArgs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37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ffffff" w:val="clear"/>
        <w:spacing w:after="240" w:lineRule="auto"/>
        <w:rPr>
          <w:rFonts w:ascii="Calibri" w:cs="Calibri" w:eastAsia="Calibri" w:hAnsi="Calibri"/>
          <w:i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13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mfdlb5kv3ay2" w:id="36"/>
      <w:bookmarkEnd w:id="36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22. Name event handlers (delegates used as types of events) with the "EventHandler" suffix, as shown in the following example:</w:t>
      </w:r>
    </w:p>
    <w:p w:rsidR="00000000" w:rsidDel="00000000" w:rsidP="00000000" w:rsidRDefault="00000000" w:rsidRPr="00000000" w14:paraId="0000013A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delegate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ReadBarcodeEventHandler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sender,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ReadBarcodeEventArgs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e);</w:t>
      </w:r>
    </w:p>
    <w:p w:rsidR="00000000" w:rsidDel="00000000" w:rsidP="00000000" w:rsidRDefault="00000000" w:rsidRPr="00000000" w14:paraId="0000013B">
      <w:pPr>
        <w:shd w:fill="ffffff" w:val="clear"/>
        <w:spacing w:after="240" w:lineRule="auto"/>
        <w:rPr>
          <w:rFonts w:ascii="Calibri" w:cs="Calibri" w:eastAsia="Calibri" w:hAnsi="Calibri"/>
          <w:i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13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ycgj9acg0iva" w:id="37"/>
      <w:bookmarkEnd w:id="37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23. Do not create names of parameters in methods (or constructors) which differ only by the register: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Avoid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name,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Name)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ffffff" w:val="clear"/>
        <w:spacing w:after="240" w:lineRule="auto"/>
        <w:rPr>
          <w:rFonts w:ascii="Calibri" w:cs="Calibri" w:eastAsia="Calibri" w:hAnsi="Calibri"/>
          <w:i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easy to read, and also excludes possibility of occurrence of conflict situations.</w:t>
      </w:r>
    </w:p>
    <w:p w:rsidR="00000000" w:rsidDel="00000000" w:rsidP="00000000" w:rsidRDefault="00000000" w:rsidRPr="00000000" w14:paraId="00000143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22yom7m7beq3" w:id="38"/>
      <w:bookmarkEnd w:id="38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24. Use two parameters named sender and e in event handlers. The sender parameter represents the object that raised the event. The sender parameter is typically of type object, even if it is possible to employ a more specific type.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ReadBarcodeEventHandler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sender,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ReadBarcodeEventArgs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e)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after="240" w:line="348" w:lineRule="auto"/>
        <w:rPr>
          <w:i w:val="1"/>
          <w:color w:val="24292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240" w:lineRule="auto"/>
        <w:rPr>
          <w:rFonts w:ascii="Calibri" w:cs="Calibri" w:eastAsia="Calibri" w:hAnsi="Calibri"/>
          <w:i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consistent with prior rule of no type indicators in identifiers.</w:t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rFonts w:ascii="Calibri" w:cs="Calibri" w:eastAsia="Calibri" w:hAnsi="Calibri"/>
          <w:b w:val="1"/>
          <w:color w:val="24292e"/>
          <w:sz w:val="28"/>
          <w:szCs w:val="28"/>
        </w:rPr>
      </w:pPr>
      <w:bookmarkStart w:colFirst="0" w:colLast="0" w:name="_5reregpc93lz" w:id="39"/>
      <w:bookmarkEnd w:id="39"/>
      <w:r w:rsidDel="00000000" w:rsidR="00000000" w:rsidRPr="00000000">
        <w:rPr>
          <w:rFonts w:ascii="Calibri" w:cs="Calibri" w:eastAsia="Calibri" w:hAnsi="Calibri"/>
          <w:b w:val="1"/>
          <w:color w:val="24292e"/>
          <w:sz w:val="28"/>
          <w:szCs w:val="28"/>
          <w:rtl w:val="0"/>
        </w:rPr>
        <w:t xml:space="preserve">25. Do use suffix Exception at creation of the new classes comprising the information on exception: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shd w:fill="f6f8fa" w:val="clear"/>
          <w:rtl w:val="0"/>
        </w:rPr>
        <w:t xml:space="preserve">// Correct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BarcodeReadException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shd w:fill="f6f8fa" w:val="clear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shd w:fill="f6f8fa" w:val="clear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ffffff" w:val="clear"/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shd w:fill="f6f8fa" w:val="clear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ffffff" w:val="clear"/>
        <w:spacing w:after="240" w:lineRule="auto"/>
        <w:rPr>
          <w:rFonts w:ascii="Calibri" w:cs="Calibri" w:eastAsia="Calibri" w:hAnsi="Calibri"/>
          <w:i w:val="1"/>
          <w:color w:val="24292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color w:val="24292e"/>
          <w:sz w:val="28"/>
          <w:szCs w:val="28"/>
          <w:rtl w:val="0"/>
        </w:rPr>
        <w:t xml:space="preserve">Why: consistent with the Microsoft's .NET Framework and easy to read.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