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F0DC4" w14:textId="445339E7" w:rsidR="00CF36AF" w:rsidRPr="00094974" w:rsidRDefault="00094974">
      <w:pPr>
        <w:rPr>
          <w:lang w:val="en-GB"/>
        </w:rPr>
      </w:pPr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Bilateral symmetry is widespread across animals, yet, among bilaterians, many cases of conspicuous asymmetries evolved. This means </w:t>
      </w:r>
      <w:r w:rsidR="00FE00D0">
        <w:rPr>
          <w:rFonts w:ascii="Calibri" w:hAnsi="Calibri" w:cs="Calibri"/>
          <w:color w:val="222222"/>
          <w:shd w:val="clear" w:color="auto" w:fill="FFFFFF"/>
          <w:lang w:val="en-GB"/>
        </w:rPr>
        <w:t xml:space="preserve">that </w:t>
      </w:r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bilaterally homologous structures on the left and right side display divergent phenotypes. Evolution of </w:t>
      </w:r>
      <w:r w:rsidR="00FE00D0">
        <w:rPr>
          <w:rFonts w:ascii="Calibri" w:hAnsi="Calibri" w:cs="Calibri"/>
          <w:color w:val="222222"/>
          <w:shd w:val="clear" w:color="auto" w:fill="FFFFFF"/>
          <w:lang w:val="en-GB"/>
        </w:rPr>
        <w:t xml:space="preserve">such </w:t>
      </w:r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divergent phenotypes is often thought to be </w:t>
      </w:r>
      <w:r w:rsidR="00FE00D0" w:rsidRPr="00094974">
        <w:rPr>
          <w:rFonts w:ascii="Calibri" w:hAnsi="Calibri" w:cs="Calibri"/>
          <w:color w:val="222222"/>
          <w:shd w:val="clear" w:color="auto" w:fill="FFFFFF"/>
          <w:lang w:val="en-GB"/>
        </w:rPr>
        <w:t>favoured</w:t>
      </w:r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 by modularity between structures, but this has rarely been studied in the context of</w:t>
      </w:r>
      <w:r w:rsidR="003D10A4">
        <w:rPr>
          <w:rFonts w:ascii="Calibri" w:hAnsi="Calibri" w:cs="Calibri"/>
          <w:color w:val="222222"/>
          <w:shd w:val="clear" w:color="auto" w:fill="FFFFFF"/>
          <w:lang w:val="en-GB"/>
        </w:rPr>
        <w:t xml:space="preserve"> </w:t>
      </w:r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>left-right differences. Here, we provide an empirical example, using geometric morphometrics</w:t>
      </w:r>
      <w:ins w:id="0" w:author="Ginot, Samuel" w:date="2023-11-02T10:15:00Z">
        <w:r w:rsidR="005D1F23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</w:ins>
      <w:ins w:id="1" w:author="Ginot, Samuel" w:date="2023-11-02T10:14:00Z">
        <w:r w:rsidR="005D1F23">
          <w:rPr>
            <w:rFonts w:ascii="Calibri" w:hAnsi="Calibri" w:cs="Calibri"/>
            <w:color w:val="222222"/>
            <w:shd w:val="clear" w:color="auto" w:fill="FFFFFF"/>
            <w:lang w:val="en-GB"/>
          </w:rPr>
          <w:t>to assess</w:t>
        </w:r>
        <w:r w:rsidR="005D1F23" w:rsidRPr="00094974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patterns of asymmetry and </w:t>
      </w:r>
      <w:ins w:id="2" w:author="Ginot, Samuel" w:date="2023-11-02T15:17:00Z">
        <w:r w:rsidR="003D10A4">
          <w:rPr>
            <w:rFonts w:ascii="Calibri" w:hAnsi="Calibri" w:cs="Calibri"/>
            <w:color w:val="222222"/>
            <w:shd w:val="clear" w:color="auto" w:fill="FFFFFF"/>
            <w:lang w:val="en-GB"/>
          </w:rPr>
          <w:t>varia</w:t>
        </w:r>
      </w:ins>
      <w:ins w:id="3" w:author="Ginot, Samuel" w:date="2023-11-02T15:18:00Z">
        <w:r w:rsidR="003D10A4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tional 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modularity </w:t>
      </w:r>
      <w:ins w:id="4" w:author="Ginot, Samuel" w:date="2023-11-02T15:18:00Z">
        <w:r w:rsidR="003D10A4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(i.e., covariation patterns between landmarks) 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in </w:t>
      </w:r>
      <w:r w:rsidR="00B076A9">
        <w:rPr>
          <w:rFonts w:ascii="Calibri" w:hAnsi="Calibri" w:cs="Calibri"/>
          <w:color w:val="222222"/>
          <w:shd w:val="clear" w:color="auto" w:fill="FFFFFF"/>
          <w:lang w:val="en-GB"/>
        </w:rPr>
        <w:t>a</w:t>
      </w:r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 grasshopper</w:t>
      </w:r>
      <w:r w:rsidR="00B076A9">
        <w:rPr>
          <w:rFonts w:ascii="Calibri" w:hAnsi="Calibri" w:cs="Calibri"/>
          <w:color w:val="222222"/>
          <w:shd w:val="clear" w:color="auto" w:fill="FFFFFF"/>
          <w:lang w:val="en-GB"/>
        </w:rPr>
        <w:t xml:space="preserve"> with</w:t>
      </w:r>
      <w:r w:rsidR="00B076A9">
        <w:rPr>
          <w:rFonts w:ascii="Calibri" w:hAnsi="Calibri" w:cs="Calibri"/>
          <w:i/>
          <w:iCs/>
          <w:color w:val="222222"/>
          <w:shd w:val="clear" w:color="auto" w:fill="FFFFFF"/>
          <w:lang w:val="en-GB"/>
        </w:rPr>
        <w:t xml:space="preserve"> </w:t>
      </w:r>
      <w:r w:rsidR="00B076A9"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conspicuously asymmetric </w:t>
      </w:r>
      <w:r w:rsidR="00B076A9">
        <w:rPr>
          <w:rFonts w:ascii="Calibri" w:hAnsi="Calibri" w:cs="Calibri"/>
          <w:color w:val="222222"/>
          <w:shd w:val="clear" w:color="auto" w:fill="FFFFFF"/>
          <w:lang w:val="en-GB"/>
        </w:rPr>
        <w:t>mandibles.</w:t>
      </w:r>
      <w:ins w:id="5" w:author="xxx" w:date="2023-11-01T10:03:00Z">
        <w:r w:rsidR="00B076A9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Our </w:t>
      </w:r>
      <w:ins w:id="6" w:author="xxx" w:date="2023-11-01T10:02:00Z">
        <w:r w:rsidR="00B076A9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morphometric 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>data confirms the presence of conspicuous directional asymmetry in the mandibles</w:t>
      </w:r>
      <w:ins w:id="7" w:author="xxx" w:date="2023-11-01T09:56:00Z">
        <w:r w:rsidR="00B076A9">
          <w:rPr>
            <w:rFonts w:ascii="Calibri" w:hAnsi="Calibri" w:cs="Calibri"/>
            <w:color w:val="222222"/>
            <w:shd w:val="clear" w:color="auto" w:fill="FFFFFF"/>
            <w:lang w:val="en-GB"/>
          </w:rPr>
          <w:t>,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 and surrounding structures, but not in the dorsal half of the head, which carries sensory structures. </w:t>
      </w:r>
      <w:ins w:id="8" w:author="xxx" w:date="2023-11-01T10:03:00Z">
        <w:r w:rsidR="00B076A9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The </w:t>
        </w:r>
      </w:ins>
      <w:ins w:id="9" w:author="Ginot, Samuel" w:date="2023-11-02T11:06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>strongest</w:t>
        </w:r>
      </w:ins>
      <w:ins w:id="10" w:author="xxx" w:date="2023-11-01T10:03:00Z">
        <w:r w:rsidR="00B076A9" w:rsidRPr="00094974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>modularity</w:t>
      </w:r>
      <w:ins w:id="11" w:author="Ginot, Samuel" w:date="2023-11-02T11:18:00Z">
        <w:r w:rsidR="00E81435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signal</w:t>
        </w:r>
      </w:ins>
      <w:ins w:id="12" w:author="Ginot, Samuel" w:date="2023-11-02T11:17:00Z">
        <w:r w:rsidR="00E81435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(</w:t>
        </w:r>
      </w:ins>
      <w:ins w:id="13" w:author="Ginot, Samuel" w:date="2023-11-02T15:16:00Z">
        <w:r w:rsidR="003D10A4">
          <w:rPr>
            <w:rFonts w:ascii="Calibri" w:hAnsi="Calibri" w:cs="Calibri"/>
            <w:color w:val="222222"/>
            <w:shd w:val="clear" w:color="auto" w:fill="FFFFFF"/>
            <w:lang w:val="en-GB"/>
          </w:rPr>
          <w:t>i.e.,</w:t>
        </w:r>
      </w:ins>
      <w:ins w:id="14" w:author="Ginot, Samuel" w:date="2023-11-02T11:17:00Z">
        <w:r w:rsidR="00E81435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the weake</w:t>
        </w:r>
      </w:ins>
      <w:ins w:id="15" w:author="Ginot, Samuel" w:date="2023-11-02T11:18:00Z">
        <w:r w:rsidR="00E81435">
          <w:rPr>
            <w:rFonts w:ascii="Calibri" w:hAnsi="Calibri" w:cs="Calibri"/>
            <w:color w:val="222222"/>
            <w:shd w:val="clear" w:color="auto" w:fill="FFFFFF"/>
            <w:lang w:val="en-GB"/>
          </w:rPr>
          <w:t>st covariation)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 is found between </w:t>
      </w:r>
      <w:ins w:id="16" w:author="xxx" w:date="2023-11-01T09:57:00Z">
        <w:r w:rsidR="00B076A9" w:rsidRPr="00094974">
          <w:rPr>
            <w:rFonts w:ascii="Calibri" w:hAnsi="Calibri" w:cs="Calibri"/>
            <w:color w:val="222222"/>
            <w:shd w:val="clear" w:color="auto" w:fill="FFFFFF"/>
            <w:lang w:val="en-GB"/>
          </w:rPr>
          <w:t>a single module</w:t>
        </w:r>
        <w:r w:rsidR="00B076A9">
          <w:rPr>
            <w:rFonts w:ascii="Calibri" w:hAnsi="Calibri" w:cs="Calibri"/>
            <w:color w:val="222222"/>
            <w:shd w:val="clear" w:color="auto" w:fill="FFFFFF"/>
            <w:lang w:val="en-GB"/>
          </w:rPr>
          <w:t>,</w:t>
        </w:r>
        <w:r w:rsidR="00B076A9" w:rsidRPr="00094974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  <w:r w:rsidR="00B076A9">
          <w:rPr>
            <w:rFonts w:ascii="Calibri" w:hAnsi="Calibri" w:cs="Calibri"/>
            <w:color w:val="222222"/>
            <w:shd w:val="clear" w:color="auto" w:fill="FFFFFF"/>
            <w:lang w:val="en-GB"/>
          </w:rPr>
          <w:t>composed of both mandibles,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 and the rest of the head, which </w:t>
      </w:r>
      <w:ins w:id="17" w:author="xxx" w:date="2023-11-01T09:57:00Z">
        <w:r w:rsidR="00B076A9">
          <w:rPr>
            <w:rFonts w:ascii="Calibri" w:hAnsi="Calibri" w:cs="Calibri"/>
            <w:color w:val="222222"/>
            <w:shd w:val="clear" w:color="auto" w:fill="FFFFFF"/>
            <w:lang w:val="en-GB"/>
          </w:rPr>
          <w:t>is best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 explained by</w:t>
      </w:r>
      <w:ins w:id="18" w:author="Ginot, Samuel" w:date="2023-11-02T15:17:00Z">
        <w:r w:rsidR="003D10A4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a combination of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 </w:t>
      </w:r>
      <w:commentRangeStart w:id="19"/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>functional</w:t>
      </w:r>
      <w:ins w:id="20" w:author="Ginot, Samuel" w:date="2023-11-02T11:05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(feeding </w:t>
        </w:r>
      </w:ins>
      <w:ins w:id="21" w:author="Ginot, Samuel" w:date="2023-11-02T11:06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>vs. sensory)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 and developmental</w:t>
      </w:r>
      <w:ins w:id="22" w:author="Ginot, Samuel" w:date="2023-11-02T11:06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(different embryological origin</w:t>
        </w:r>
      </w:ins>
      <w:ins w:id="23" w:author="Ginot, Samuel" w:date="2023-11-02T11:16:00Z">
        <w:r w:rsidR="00E81435">
          <w:rPr>
            <w:rFonts w:ascii="Calibri" w:hAnsi="Calibri" w:cs="Calibri"/>
            <w:color w:val="222222"/>
            <w:shd w:val="clear" w:color="auto" w:fill="FFFFFF"/>
            <w:lang w:val="en-GB"/>
          </w:rPr>
          <w:t>s</w:t>
        </w:r>
      </w:ins>
      <w:ins w:id="24" w:author="Ginot, Samuel" w:date="2023-11-02T11:06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>)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 modularity. </w:t>
      </w:r>
      <w:commentRangeEnd w:id="19"/>
      <w:r w:rsidR="00864B66">
        <w:rPr>
          <w:rStyle w:val="CommentReference"/>
        </w:rPr>
        <w:commentReference w:id="19"/>
      </w:r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Left and right mandibles also show significant, albeit weaker, variational modularity. </w:t>
      </w:r>
      <w:ins w:id="25" w:author="xxx" w:date="2023-11-01T09:58:00Z">
        <w:r w:rsidR="00B076A9">
          <w:rPr>
            <w:rFonts w:ascii="Calibri" w:hAnsi="Calibri" w:cs="Calibri"/>
            <w:color w:val="222222"/>
            <w:shd w:val="clear" w:color="auto" w:fill="FFFFFF"/>
            <w:lang w:val="en-GB"/>
          </w:rPr>
          <w:t>T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his </w:t>
      </w:r>
      <w:ins w:id="26" w:author="Ginot, Samuel" w:date="2023-11-02T11:19:00Z">
        <w:r w:rsidR="00E81435">
          <w:rPr>
            <w:rFonts w:ascii="Calibri" w:hAnsi="Calibri" w:cs="Calibri"/>
            <w:color w:val="222222"/>
            <w:shd w:val="clear" w:color="auto" w:fill="FFFFFF"/>
            <w:lang w:val="en-GB"/>
          </w:rPr>
          <w:t>supports</w:t>
        </w:r>
      </w:ins>
      <w:ins w:id="27" w:author="Ginot, Samuel" w:date="2023-11-02T15:10:00Z">
        <w:r w:rsidR="00847453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the idea</w:t>
        </w:r>
      </w:ins>
      <w:ins w:id="28" w:author="Ginot, Samuel" w:date="2023-11-02T11:09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that 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modularity may </w:t>
      </w:r>
      <w:ins w:id="29" w:author="Ginot, Samuel" w:date="2023-11-02T11:09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>allow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 </w:t>
      </w:r>
      <w:ins w:id="30" w:author="Ginot, Samuel" w:date="2023-11-02T11:11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>asymmetric</w:t>
        </w:r>
        <w:r w:rsidR="00D70D05" w:rsidRPr="00094974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>shapes of left and right mandibles</w:t>
      </w:r>
      <w:ins w:id="31" w:author="Ginot, Samuel" w:date="2023-11-02T11:09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to </w:t>
        </w:r>
      </w:ins>
      <w:ins w:id="32" w:author="Ginot, Samuel" w:date="2023-11-02T11:11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>develop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, </w:t>
      </w:r>
      <w:ins w:id="33" w:author="Ginot, Samuel" w:date="2023-11-02T11:10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>despite being</w:t>
        </w:r>
      </w:ins>
      <w:ins w:id="34" w:author="xxx" w:date="2023-11-01T09:58:00Z">
        <w:r w:rsidR="00B076A9" w:rsidRPr="00094974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</w:ins>
      <w:ins w:id="35" w:author="Ginot, Samuel" w:date="2023-11-02T11:19:00Z">
        <w:r w:rsidR="00E81435">
          <w:rPr>
            <w:rFonts w:ascii="Calibri" w:hAnsi="Calibri" w:cs="Calibri"/>
            <w:color w:val="222222"/>
            <w:shd w:val="clear" w:color="auto" w:fill="FFFFFF"/>
            <w:lang w:val="en-GB"/>
          </w:rPr>
          <w:t>constrained</w:t>
        </w:r>
        <w:r w:rsidR="00E81435" w:rsidRPr="00094974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>by</w:t>
      </w:r>
      <w:ins w:id="36" w:author="xxx" w:date="2023-11-01T09:59:00Z">
        <w:r w:rsidR="00B076A9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the </w:t>
        </w:r>
      </w:ins>
      <w:ins w:id="37" w:author="Ginot, Samuel" w:date="2023-11-02T11:10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>k</w:t>
        </w:r>
      </w:ins>
      <w:ins w:id="38" w:author="xxx" w:date="2023-11-01T09:59:00Z">
        <w:r w:rsidR="00B076A9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ey-lock principle </w:t>
        </w:r>
      </w:ins>
      <w:ins w:id="39" w:author="Ginot, Samuel" w:date="2023-11-02T11:13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>necessary to</w:t>
        </w:r>
      </w:ins>
      <w:ins w:id="40" w:author="Ginot, Samuel" w:date="2023-11-02T11:14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achieve</w:t>
        </w:r>
      </w:ins>
      <w:ins w:id="41" w:author="Ginot, Samuel" w:date="2023-11-02T15:09:00Z">
        <w:r w:rsidR="00847453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their</w:t>
        </w:r>
      </w:ins>
      <w:ins w:id="42" w:author="Ginot, Samuel" w:date="2023-11-02T11:14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feeding</w:t>
        </w:r>
      </w:ins>
      <w:ins w:id="43" w:author="Ginot, Samuel" w:date="2023-11-02T15:09:00Z">
        <w:r w:rsidR="00847453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function</w:t>
        </w:r>
      </w:ins>
      <w:ins w:id="44" w:author="Ginot, Samuel" w:date="2023-11-02T11:14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>.</w:t>
        </w:r>
      </w:ins>
      <w:ins w:id="45" w:author="xxx" w:date="2023-11-01T10:06:00Z">
        <w:r w:rsidR="00864B66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</w:ins>
    </w:p>
    <w:sectPr w:rsidR="00CF36AF" w:rsidRPr="000949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9" w:author="xxx" w:date="2023-11-01T10:09:00Z" w:initials="x">
    <w:p w14:paraId="6F512C92" w14:textId="77777777" w:rsidR="00864B66" w:rsidRPr="00864B66" w:rsidRDefault="00864B66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864B66">
        <w:rPr>
          <w:lang w:val="en-GB"/>
        </w:rPr>
        <w:t>One more sentence or a few words to explain this a bit maybe already in the abstract?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512C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512C92" w16cid:durableId="28EDEE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not, Samuel">
    <w15:presenceInfo w15:providerId="AD" w15:userId="S-1-5-21-3402805076-1144395752-1130765346-56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74"/>
    <w:rsid w:val="00094974"/>
    <w:rsid w:val="000A3440"/>
    <w:rsid w:val="0036080E"/>
    <w:rsid w:val="003D10A4"/>
    <w:rsid w:val="005D1F23"/>
    <w:rsid w:val="00847453"/>
    <w:rsid w:val="00864B66"/>
    <w:rsid w:val="00B076A9"/>
    <w:rsid w:val="00CA698C"/>
    <w:rsid w:val="00CF36AF"/>
    <w:rsid w:val="00D70D05"/>
    <w:rsid w:val="00E81435"/>
    <w:rsid w:val="00FE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4A9B89"/>
  <w15:docId w15:val="{D37C0C82-FDE5-491C-8655-8AEBC177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76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76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76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6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6A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076A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7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6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Ginot, Samuel</cp:lastModifiedBy>
  <cp:revision>4</cp:revision>
  <dcterms:created xsi:type="dcterms:W3CDTF">2023-11-01T08:03:00Z</dcterms:created>
  <dcterms:modified xsi:type="dcterms:W3CDTF">2023-11-02T14:19:00Z</dcterms:modified>
</cp:coreProperties>
</file>