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46FD" w14:textId="25DEC5F0" w:rsidR="00E5631E" w:rsidRPr="009F6375" w:rsidRDefault="00E5631E" w:rsidP="00B2708E">
      <w:pPr>
        <w:jc w:val="both"/>
        <w:rPr>
          <w:b/>
          <w:bCs/>
          <w:lang w:val="en-US"/>
        </w:rPr>
      </w:pPr>
      <w:r w:rsidRPr="009F6375">
        <w:rPr>
          <w:b/>
          <w:bCs/>
          <w:lang w:val="en-US"/>
        </w:rPr>
        <w:t>Insect head modularity allows conspicuously asymmetric but functionally constrained mandible shapes</w:t>
      </w:r>
    </w:p>
    <w:p w14:paraId="5FF2B1B1" w14:textId="7DE2EB8F" w:rsidR="009F6375" w:rsidRDefault="009F6375" w:rsidP="00B2708E">
      <w:pPr>
        <w:jc w:val="both"/>
        <w:rPr>
          <w:lang w:val="en-US"/>
        </w:rPr>
      </w:pPr>
      <w:r>
        <w:rPr>
          <w:lang w:val="en-US"/>
        </w:rPr>
        <w:t>Samuel Ginot</w:t>
      </w:r>
      <w:r w:rsidRPr="009F6375">
        <w:rPr>
          <w:vertAlign w:val="superscript"/>
          <w:lang w:val="en-US"/>
        </w:rPr>
        <w:t>1</w:t>
      </w:r>
      <w:r>
        <w:rPr>
          <w:lang w:val="en-US"/>
        </w:rPr>
        <w:t>, Simon Sommerfeld</w:t>
      </w:r>
      <w:r w:rsidRPr="009F6375">
        <w:rPr>
          <w:vertAlign w:val="superscript"/>
          <w:lang w:val="en-US"/>
        </w:rPr>
        <w:t>1</w:t>
      </w:r>
      <w:r>
        <w:rPr>
          <w:lang w:val="en-US"/>
        </w:rPr>
        <w:t>, Alexander Blanke</w:t>
      </w:r>
      <w:r w:rsidRPr="009F6375">
        <w:rPr>
          <w:vertAlign w:val="superscript"/>
          <w:lang w:val="en-US"/>
        </w:rPr>
        <w:t>1</w:t>
      </w:r>
    </w:p>
    <w:p w14:paraId="0C5ACB30" w14:textId="2349C4BD" w:rsidR="009F6375" w:rsidRPr="009F6375" w:rsidRDefault="009F6375" w:rsidP="00B2708E">
      <w:pPr>
        <w:jc w:val="both"/>
        <w:rPr>
          <w:lang w:val="de-DE"/>
        </w:rPr>
      </w:pPr>
      <w:r w:rsidRPr="009F6375">
        <w:rPr>
          <w:lang w:val="de-DE"/>
        </w:rPr>
        <w:t>Bonner Institut für Organis</w:t>
      </w:r>
      <w:r>
        <w:rPr>
          <w:lang w:val="de-DE"/>
        </w:rPr>
        <w:t>mische Biologie, Universität Bonn, Germany.</w:t>
      </w:r>
    </w:p>
    <w:p w14:paraId="71DA8204" w14:textId="77777777" w:rsidR="006D3CD6" w:rsidRDefault="006D3CD6" w:rsidP="00B2708E">
      <w:pPr>
        <w:jc w:val="both"/>
        <w:rPr>
          <w:lang w:val="en-US"/>
        </w:rPr>
      </w:pPr>
    </w:p>
    <w:p w14:paraId="0507A440" w14:textId="1574C308" w:rsidR="006D3CD6" w:rsidRPr="006D3CD6" w:rsidRDefault="006D3CD6" w:rsidP="00B2708E">
      <w:pPr>
        <w:jc w:val="both"/>
        <w:rPr>
          <w:b/>
          <w:bCs/>
          <w:lang w:val="en-US"/>
        </w:rPr>
      </w:pPr>
      <w:r w:rsidRPr="006D3CD6">
        <w:rPr>
          <w:b/>
          <w:bCs/>
          <w:lang w:val="en-US"/>
        </w:rPr>
        <w:t>Introduction</w:t>
      </w:r>
    </w:p>
    <w:p w14:paraId="3F5633CD" w14:textId="214C3E88"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(Babcock, 2005; Palmer, 1996; Van Valen,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(Klingenberg, 2022; Palmer, 1994; Van Valen,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(Benítez et al., 2020; Graham et al., 1993; Klingenberg, 2022; Møller, 1990; Palmer, 1994; Savriama et al., 2016; Van Valen,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antisymmetry,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antisymmetry</w:t>
      </w:r>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antisymmetry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antisymmetry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(Klingenberg et al., 1998; Pélabon &amp; Hansen, 2008; Pither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biosonar function </w:t>
      </w:r>
      <w:bookmarkStart w:id="7" w:name="ZOTERO_BREF_xtAXZHqSamQK"/>
      <w:r w:rsidR="004B7310" w:rsidRPr="004B7310">
        <w:rPr>
          <w:rFonts w:ascii="Calibri" w:hAnsi="Calibri" w:cs="Calibri"/>
        </w:rPr>
        <w:t>(Churchill et al., 2019; del Castillo et al., 2016; Huggenberger et al., 2017; Lanzetti,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antisymmetry in many Crustacean appendages has been related to divergent left and right functions </w:t>
      </w:r>
      <w:bookmarkStart w:id="9" w:name="ZOTERO_BREF_i2BWnl24xap6"/>
      <w:r w:rsidR="00220431" w:rsidRPr="00220431">
        <w:rPr>
          <w:rFonts w:ascii="Calibri" w:hAnsi="Calibri" w:cs="Calibri"/>
        </w:rPr>
        <w:t>(Govind, 1989; Govind &amp; Blundon, 1985; Levinton, 2016; Pratt &amp; Mclain,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w:t>
      </w:r>
      <w:r w:rsidR="006725D0">
        <w:rPr>
          <w:rFonts w:ascii="Calibri" w:hAnsi="Calibri" w:cs="Calibri"/>
          <w:lang w:val="en-US"/>
        </w:rPr>
        <w:lastRenderedPageBreak/>
        <w:t xml:space="preserve">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r w:rsidR="006725D0">
        <w:rPr>
          <w:rFonts w:ascii="Calibri" w:hAnsi="Calibri" w:cs="Calibri"/>
          <w:i/>
          <w:iCs/>
          <w:lang w:val="en-US"/>
        </w:rPr>
        <w:t>solitus</w:t>
      </w:r>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(Levinton,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antisymmetry</w:t>
      </w:r>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(Wagner et al., 2007; Zelditch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(Pratt &amp; Mclain,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somehow intermediate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(Posnien &amp; Bucher, 2010)</w:t>
      </w:r>
      <w:bookmarkEnd w:id="22"/>
      <w:r w:rsidR="00002E53">
        <w:rPr>
          <w:rFonts w:ascii="Calibri" w:hAnsi="Calibri" w:cs="Calibri"/>
          <w:lang w:val="en-US"/>
        </w:rPr>
        <w:t>.</w:t>
      </w:r>
    </w:p>
    <w:p w14:paraId="3669BE08" w14:textId="0FDBE017" w:rsidR="000B6F2E" w:rsidRDefault="009169E0" w:rsidP="00FC5E12">
      <w:pPr>
        <w:jc w:val="both"/>
        <w:rPr>
          <w:rFonts w:ascii="Calibri" w:hAnsi="Calibri" w:cs="Calibri"/>
          <w:lang w:val="en-US"/>
        </w:rPr>
      </w:pPr>
      <w:r>
        <w:rPr>
          <w:lang w:val="en-US"/>
        </w:rPr>
        <w:t>We propose that</w:t>
      </w:r>
      <w:r w:rsidR="00CF5B6F">
        <w:rPr>
          <w:lang w:val="en-US"/>
        </w:rPr>
        <w:t xml:space="preserve"> (i)</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E105BC">
        <w:rPr>
          <w:lang w:val="en-US"/>
        </w:rPr>
        <w:t xml:space="preserve"> </w:t>
      </w:r>
      <w:r w:rsidR="00C85762">
        <w:rPr>
          <w:lang w:val="en-US"/>
        </w:rPr>
        <w:t>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(i)</w:t>
      </w:r>
      <w:r w:rsidR="00072B8E">
        <w:rPr>
          <w:lang w:val="en-US"/>
        </w:rPr>
        <w:t>.</w:t>
      </w:r>
      <w:r w:rsidR="00C53907">
        <w:rPr>
          <w:lang w:val="en-US"/>
        </w:rPr>
        <w:t xml:space="preserve"> Another possibility is that (iv) asymmetries may “spill-over” from conspicuously asymmetrical modules to neighboring areas, for example through </w:t>
      </w:r>
      <w:r w:rsidR="00C53907">
        <w:rPr>
          <w:lang w:val="en-US"/>
        </w:rPr>
        <w:lastRenderedPageBreak/>
        <w:t xml:space="preserve">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(Levinton, 2016; Pratt &amp; Mclain,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(Klingenberg et al., 2001; Wagner et al., 2007; Zelditch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(i)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(Hansen et al., 2006; Pélabon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218ECA6C" w:rsidR="00F832BE" w:rsidRPr="006D3CD6" w:rsidRDefault="000B6F2E" w:rsidP="00FC5E12">
      <w:pPr>
        <w:jc w:val="both"/>
        <w:rPr>
          <w:b/>
          <w:bCs/>
          <w:lang w:val="en-US"/>
        </w:rPr>
      </w:pPr>
      <w:r>
        <w:rPr>
          <w:lang w:val="en-US"/>
        </w:rPr>
        <w:t xml:space="preserve"> </w:t>
      </w:r>
      <w:r w:rsidR="006D3CD6" w:rsidRPr="006D3CD6">
        <w:rPr>
          <w:b/>
          <w:bCs/>
          <w:lang w:val="en-US"/>
        </w:rPr>
        <w:t>Materials and Methods</w:t>
      </w:r>
    </w:p>
    <w:p w14:paraId="2F00A619" w14:textId="148FCF1D" w:rsidR="00C414B3" w:rsidRDefault="00C414B3" w:rsidP="00FC5E12">
      <w:pPr>
        <w:jc w:val="both"/>
        <w:rPr>
          <w:rFonts w:ascii="Calibri" w:hAnsi="Calibri" w:cs="Calibri"/>
          <w:szCs w:val="24"/>
          <w:lang w:val="en-US"/>
        </w:rPr>
      </w:pPr>
      <w:r w:rsidRPr="00C414B3">
        <w:rPr>
          <w:i/>
          <w:iCs/>
          <w:lang w:val="en-US"/>
        </w:rPr>
        <w:t>Specimens and measurements</w:t>
      </w:r>
      <w:r>
        <w:rPr>
          <w:lang w:val="en-US"/>
        </w:rPr>
        <w:t xml:space="preserve">. </w:t>
      </w:r>
      <w:r w:rsidR="00146BFB">
        <w:rPr>
          <w:lang w:val="en-US"/>
        </w:rPr>
        <w:t xml:space="preserve">Fifty live adult specimens of </w:t>
      </w:r>
      <w:r w:rsidR="00146BFB" w:rsidRPr="00146BFB">
        <w:rPr>
          <w:i/>
          <w:iCs/>
          <w:lang w:val="en-US"/>
        </w:rPr>
        <w:t>Schistocerca gregaria</w:t>
      </w:r>
      <w:r w:rsidR="00146BFB">
        <w:rPr>
          <w:lang w:val="en-US"/>
        </w:rPr>
        <w:t xml:space="preserve"> were purchased from Fressnapf© (Krefeld, Germany). The animals were brought back to the lab, and their maximal bite forces were measured using the setup developed by </w:t>
      </w:r>
      <w:bookmarkStart w:id="26" w:name="ZOTERO_BREF_WqoaLINSFuqY"/>
      <w:r w:rsidR="00146BFB" w:rsidRPr="00146BFB">
        <w:rPr>
          <w:rFonts w:ascii="Calibri" w:hAnsi="Calibri" w:cs="Calibri"/>
          <w:szCs w:val="24"/>
        </w:rPr>
        <w:t>(Rühr &amp; Blanke, 2022)</w:t>
      </w:r>
      <w:bookmarkEnd w:id="26"/>
      <w:r w:rsidR="00CA7E66">
        <w:rPr>
          <w:rFonts w:ascii="Calibri" w:hAnsi="Calibri" w:cs="Calibri"/>
          <w:szCs w:val="24"/>
          <w:lang w:val="en-US"/>
        </w:rPr>
        <w:t xml:space="preserve"> on the same day or the next</w:t>
      </w:r>
      <w:r w:rsidR="00146BFB">
        <w:rPr>
          <w:rFonts w:ascii="Calibri" w:hAnsi="Calibri" w:cs="Calibri"/>
          <w:szCs w:val="24"/>
          <w:lang w:val="en-US"/>
        </w:rPr>
        <w:t>.</w:t>
      </w:r>
      <w:r>
        <w:rPr>
          <w:rFonts w:ascii="Calibri" w:hAnsi="Calibri" w:cs="Calibri"/>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w:t>
      </w:r>
      <w:r w:rsidR="00146BFB">
        <w:rPr>
          <w:rFonts w:ascii="Calibri" w:hAnsi="Calibri" w:cs="Calibri"/>
          <w:szCs w:val="24"/>
          <w:lang w:val="en-US"/>
        </w:rPr>
        <w:t xml:space="preserve"> </w:t>
      </w:r>
      <w:r>
        <w:rPr>
          <w:rFonts w:ascii="Calibri" w:hAnsi="Calibri" w:cs="Calibri"/>
          <w:szCs w:val="24"/>
          <w:lang w:val="en-US"/>
        </w:rPr>
        <w:t xml:space="preserve">(i.e. maximal voluntary bite force) was extracted and used in further analyses. </w:t>
      </w:r>
      <w:r w:rsidR="00146BFB">
        <w:rPr>
          <w:rFonts w:ascii="Calibri" w:hAnsi="Calibri" w:cs="Calibri"/>
          <w:szCs w:val="24"/>
          <w:lang w:val="en-US"/>
        </w:rPr>
        <w:t xml:space="preserve">The sex of individuals was determined, and five linear measurements </w:t>
      </w:r>
      <w:r w:rsidR="00CA7E66">
        <w:rPr>
          <w:rFonts w:ascii="Calibri" w:hAnsi="Calibri" w:cs="Calibri"/>
          <w:szCs w:val="24"/>
          <w:lang w:val="en-US"/>
        </w:rPr>
        <w:t>were obtained: body length</w:t>
      </w:r>
      <w:r>
        <w:rPr>
          <w:rFonts w:ascii="Calibri" w:hAnsi="Calibri" w:cs="Calibri"/>
          <w:szCs w:val="24"/>
          <w:lang w:val="en-US"/>
        </w:rPr>
        <w:t xml:space="preserve"> (BL)</w:t>
      </w:r>
      <w:r w:rsidR="00CA7E66">
        <w:rPr>
          <w:rFonts w:ascii="Calibri" w:hAnsi="Calibri" w:cs="Calibri"/>
          <w:szCs w:val="24"/>
          <w:lang w:val="en-US"/>
        </w:rPr>
        <w:t>, pronotum width</w:t>
      </w:r>
      <w:r>
        <w:rPr>
          <w:rFonts w:ascii="Calibri" w:hAnsi="Calibri" w:cs="Calibri"/>
          <w:szCs w:val="24"/>
          <w:lang w:val="en-US"/>
        </w:rPr>
        <w:t xml:space="preserve"> (PW)</w:t>
      </w:r>
      <w:r w:rsidR="00CA7E66">
        <w:rPr>
          <w:rFonts w:ascii="Calibri" w:hAnsi="Calibri" w:cs="Calibri"/>
          <w:szCs w:val="24"/>
          <w:lang w:val="en-US"/>
        </w:rPr>
        <w:t>, head width</w:t>
      </w:r>
      <w:r>
        <w:rPr>
          <w:rFonts w:ascii="Calibri" w:hAnsi="Calibri" w:cs="Calibri"/>
          <w:szCs w:val="24"/>
          <w:lang w:val="en-US"/>
        </w:rPr>
        <w:t xml:space="preserve"> (HW)</w:t>
      </w:r>
      <w:r w:rsidR="00CA7E66">
        <w:rPr>
          <w:rFonts w:ascii="Calibri" w:hAnsi="Calibri" w:cs="Calibri"/>
          <w:szCs w:val="24"/>
          <w:lang w:val="en-US"/>
        </w:rPr>
        <w:t xml:space="preserve">, head length </w:t>
      </w:r>
      <w:r>
        <w:rPr>
          <w:rFonts w:ascii="Calibri" w:hAnsi="Calibri" w:cs="Calibri"/>
          <w:szCs w:val="24"/>
          <w:lang w:val="en-US"/>
        </w:rPr>
        <w:t xml:space="preserve">(HL) </w:t>
      </w:r>
      <w:r w:rsidR="00CA7E66">
        <w:rPr>
          <w:rFonts w:ascii="Calibri" w:hAnsi="Calibri" w:cs="Calibri"/>
          <w:szCs w:val="24"/>
          <w:lang w:val="en-US"/>
        </w:rPr>
        <w:t>and head height</w:t>
      </w:r>
      <w:r>
        <w:rPr>
          <w:rFonts w:ascii="Calibri" w:hAnsi="Calibri" w:cs="Calibri"/>
          <w:szCs w:val="24"/>
          <w:lang w:val="en-US"/>
        </w:rPr>
        <w:t xml:space="preserve"> (HH)</w:t>
      </w:r>
      <w:r w:rsidR="00CA7E66">
        <w:rPr>
          <w:rFonts w:ascii="Calibri" w:hAnsi="Calibri" w:cs="Calibri"/>
          <w:szCs w:val="24"/>
          <w:lang w:val="en-US"/>
        </w:rPr>
        <w:t xml:space="preserve">. </w:t>
      </w:r>
    </w:p>
    <w:p w14:paraId="7DF847EE" w14:textId="02082915" w:rsidR="006D3CD6" w:rsidRDefault="00C414B3" w:rsidP="00FC5E12">
      <w:pPr>
        <w:jc w:val="both"/>
        <w:rPr>
          <w:rFonts w:cs="Calibri"/>
          <w:lang w:val="en-US"/>
        </w:rPr>
      </w:pPr>
      <w:r w:rsidRPr="00C414B3">
        <w:rPr>
          <w:rFonts w:ascii="Calibri" w:hAnsi="Calibri" w:cs="Calibri"/>
          <w:i/>
          <w:iCs/>
          <w:szCs w:val="24"/>
          <w:lang w:val="en-US"/>
        </w:rPr>
        <w:t>Fixation and microCT scanning</w:t>
      </w:r>
      <w:r>
        <w:rPr>
          <w:rFonts w:ascii="Calibri" w:hAnsi="Calibri" w:cs="Calibri"/>
          <w:szCs w:val="24"/>
          <w:lang w:val="en-US"/>
        </w:rPr>
        <w:t xml:space="preserve">. </w:t>
      </w:r>
      <w:r w:rsidR="00CA7E66">
        <w:rPr>
          <w:rFonts w:ascii="Calibri" w:hAnsi="Calibri" w:cs="Calibri"/>
          <w:szCs w:val="24"/>
          <w:lang w:val="en-US"/>
        </w:rPr>
        <w:t xml:space="preserve">Specimens were then fixed in Bouin solution for around 3 days, their heads were cut off the body, and rinsed repeatedly in 70% ethanol. Following this, the heads were dehydrated in a series of increasingly concentrated ethanol solution, going from 70% to 100% </w:t>
      </w:r>
      <w:r>
        <w:rPr>
          <w:rFonts w:ascii="Calibri" w:hAnsi="Calibri" w:cs="Calibri"/>
          <w:szCs w:val="24"/>
          <w:lang w:val="en-US"/>
        </w:rPr>
        <w:t xml:space="preserve">by steps of 10%, with 1 hour at each step. </w:t>
      </w:r>
      <w:r>
        <w:rPr>
          <w:rFonts w:cs="Calibri"/>
          <w:lang w:val="en-US"/>
        </w:rPr>
        <w:t>After this process, the</w:t>
      </w:r>
      <w:r>
        <w:rPr>
          <w:rFonts w:cs="Calibri"/>
          <w:lang w:val="en-US"/>
        </w:rPr>
        <w:t xml:space="preserve"> </w:t>
      </w:r>
      <w:r>
        <w:rPr>
          <w:rFonts w:cs="Calibri"/>
          <w:lang w:val="en-US"/>
        </w:rPr>
        <w:t>heads were critical-point dried (Autosamdri 931.GL) before microCT</w:t>
      </w:r>
      <w:r>
        <w:rPr>
          <w:rFonts w:cs="Calibri"/>
          <w:lang w:val="en-US"/>
        </w:rPr>
        <w:t xml:space="preserve"> scanning using a </w:t>
      </w:r>
      <w:r>
        <w:rPr>
          <w:rFonts w:cs="Calibri"/>
          <w:lang w:val="en-US"/>
        </w:rPr>
        <w:t>Bruker SkyScan 1272</w:t>
      </w:r>
      <w:r>
        <w:rPr>
          <w:rFonts w:cs="Calibri"/>
          <w:lang w:val="en-US"/>
        </w:rPr>
        <w:t xml:space="preserve"> (</w:t>
      </w:r>
      <w:r>
        <w:rPr>
          <w:rFonts w:cs="Calibri"/>
          <w:lang w:val="en-US"/>
        </w:rPr>
        <w:t>voltage = 50 kV, current = 200 µA, Image pixel size = 6.0 µm or 7.5 µm) and reconstructed using NRecon. All heads had fully closed mandibles</w:t>
      </w:r>
      <w:r>
        <w:rPr>
          <w:rFonts w:cs="Calibri"/>
          <w:lang w:val="en-US"/>
        </w:rPr>
        <w:t xml:space="preserve"> when scanned.</w:t>
      </w:r>
    </w:p>
    <w:p w14:paraId="0E1CAC0D" w14:textId="39A98009" w:rsidR="00104BE6" w:rsidRDefault="00104BE6" w:rsidP="00FC5E12">
      <w:pPr>
        <w:jc w:val="both"/>
        <w:rPr>
          <w:rFonts w:ascii="Calibri" w:hAnsi="Calibri" w:cs="Calibri"/>
          <w:lang w:val="en-US"/>
        </w:rPr>
      </w:pPr>
      <w:r w:rsidRPr="00104BE6">
        <w:rPr>
          <w:rFonts w:cs="Calibri"/>
          <w:i/>
          <w:iCs/>
          <w:lang w:val="en-US"/>
        </w:rPr>
        <w:t>Landmarking</w:t>
      </w:r>
      <w:r>
        <w:rPr>
          <w:rFonts w:cs="Calibri"/>
          <w:lang w:val="en-US"/>
        </w:rPr>
        <w:t xml:space="preserve">. 3D reconstructed heads were imported and rendered in the software MorphoDig </w:t>
      </w:r>
      <w:bookmarkStart w:id="27" w:name="ZOTERO_BREF_dguldPDeadxx"/>
      <w:r w:rsidRPr="00104BE6">
        <w:rPr>
          <w:rFonts w:ascii="Calibri" w:hAnsi="Calibri" w:cs="Calibri"/>
        </w:rPr>
        <w:t>(Lebrun, 2018)</w:t>
      </w:r>
      <w:bookmarkEnd w:id="27"/>
      <w:r>
        <w:rPr>
          <w:rFonts w:ascii="Calibri" w:hAnsi="Calibri" w:cs="Calibri"/>
          <w:lang w:val="en-US"/>
        </w:rPr>
        <w:t>. In total, 38 homologous landmarks were placed across the head</w:t>
      </w:r>
      <w:r w:rsidR="00CB5586">
        <w:rPr>
          <w:rFonts w:ascii="Calibri" w:hAnsi="Calibri" w:cs="Calibri"/>
          <w:lang w:val="en-US"/>
        </w:rPr>
        <w:t>. However, three landmarks had to be excluded because they could not be placed accurately in all individuals</w:t>
      </w:r>
      <w:r w:rsidR="005074CE">
        <w:rPr>
          <w:rFonts w:ascii="Calibri" w:hAnsi="Calibri" w:cs="Calibri"/>
          <w:lang w:val="en-US"/>
        </w:rPr>
        <w:t xml:space="preserve">, leaving a total of 35 landmarks </w:t>
      </w:r>
      <w:r w:rsidR="005074CE">
        <w:rPr>
          <w:rFonts w:ascii="Calibri" w:hAnsi="Calibri" w:cs="Calibri"/>
          <w:lang w:val="en-US"/>
        </w:rPr>
        <w:t>(Fig. 1)</w:t>
      </w:r>
      <w:r w:rsidR="005074CE">
        <w:rPr>
          <w:rFonts w:ascii="Calibri" w:hAnsi="Calibri" w:cs="Calibri"/>
          <w:lang w:val="en-US"/>
        </w:rPr>
        <w:t>. All landmarks were digitized by the same user (SG) and replicated once, to allow discrimination between the various components of inter- and intra-individual variation (i.e. asymmetry, see below).</w:t>
      </w:r>
    </w:p>
    <w:p w14:paraId="36A1BECC" w14:textId="60C89727" w:rsidR="005074CE" w:rsidRPr="00BB557C" w:rsidRDefault="005074CE" w:rsidP="00FC5E12">
      <w:pPr>
        <w:jc w:val="both"/>
        <w:rPr>
          <w:rFonts w:ascii="Calibri" w:hAnsi="Calibri" w:cs="Calibri"/>
          <w:szCs w:val="24"/>
          <w:lang w:val="en-US"/>
        </w:rPr>
      </w:pPr>
      <w:r w:rsidRPr="005074CE">
        <w:rPr>
          <w:rFonts w:ascii="Calibri" w:hAnsi="Calibri" w:cs="Calibri"/>
          <w:i/>
          <w:iCs/>
          <w:lang w:val="en-US"/>
        </w:rPr>
        <w:lastRenderedPageBreak/>
        <w:t>Shape variation decomposition and analysis of asymmetry</w:t>
      </w:r>
      <w:r>
        <w:rPr>
          <w:rFonts w:ascii="Calibri" w:hAnsi="Calibri" w:cs="Calibri"/>
          <w:lang w:val="en-US"/>
        </w:rPr>
        <w:t xml:space="preserve">. Entire landmark configurations were used, meaning we considered here the object symmetry of the head and mandibles as a whole. </w:t>
      </w:r>
      <w:r w:rsidR="00BB557C">
        <w:rPr>
          <w:rFonts w:ascii="Calibri" w:hAnsi="Calibri" w:cs="Calibri"/>
          <w:lang w:val="en-US"/>
        </w:rPr>
        <w:t xml:space="preserve">Two different approaches were used in the decomposition of asymmetric variation. First, we used the approach from </w:t>
      </w:r>
      <w:bookmarkStart w:id="28" w:name="ZOTERO_BREF_iRw2R6aZcixc"/>
      <w:r w:rsidR="00BB557C" w:rsidRPr="00BB557C">
        <w:rPr>
          <w:rFonts w:ascii="Calibri" w:hAnsi="Calibri" w:cs="Calibri"/>
        </w:rPr>
        <w:t>(Neubauer et al., 2020)</w:t>
      </w:r>
      <w:bookmarkEnd w:id="28"/>
      <w:r w:rsidR="00BB557C">
        <w:rPr>
          <w:rFonts w:ascii="Calibri" w:hAnsi="Calibri" w:cs="Calibri"/>
          <w:lang w:val="en-US"/>
        </w:rPr>
        <w:t xml:space="preserve"> to obtain estimates of fluctuating asymmetry (FA) and directional asymmetry (DA) at the individual level. This relies on the use of non-centered PCA on the matrix of differences between the configuration of a given individual and its reflection along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w:t>
      </w:r>
      <w:r w:rsidR="00CD0858">
        <w:rPr>
          <w:rFonts w:ascii="Calibri" w:hAnsi="Calibri" w:cs="Calibri"/>
          <w:lang w:val="en-US"/>
        </w:rPr>
        <w:t>positions along this axis can therefore be used as a proxy for “individual directional asymmetry” in shape differences represented by this axis. When the population average along an axis is not different from 0 (and the distribution is not bimodal, which would suggest antisymmetry), the individual positions can serve as a proxy for “individual fluctuating asymmetry”. In addition, individual total asymmetry (TA) was also computed as the distance between a configuration and its reflection.</w:t>
      </w:r>
    </w:p>
    <w:p w14:paraId="3B50959A" w14:textId="3B37CBEC" w:rsidR="009169E0" w:rsidRDefault="009169E0" w:rsidP="00FC5E12">
      <w:pPr>
        <w:jc w:val="both"/>
        <w:rPr>
          <w:lang w:val="en-US"/>
        </w:rPr>
      </w:pPr>
    </w:p>
    <w:p w14:paraId="6696FAFF" w14:textId="418FE0DB" w:rsidR="009169E0" w:rsidRDefault="009169E0" w:rsidP="00FC5E12">
      <w:pPr>
        <w:jc w:val="both"/>
        <w:rPr>
          <w:lang w:val="en-US"/>
        </w:rPr>
      </w:pPr>
    </w:p>
    <w:p w14:paraId="47B211FE" w14:textId="2A103A9E" w:rsidR="009169E0" w:rsidRPr="00327A77" w:rsidRDefault="009169E0" w:rsidP="00FC5E12">
      <w:pPr>
        <w:jc w:val="both"/>
        <w:rPr>
          <w:lang w:val="en-US"/>
        </w:rPr>
      </w:pPr>
    </w:p>
    <w:sectPr w:rsidR="009169E0" w:rsidRPr="00327A77"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103AA9"/>
    <w:rsid w:val="00104BE6"/>
    <w:rsid w:val="00146BFB"/>
    <w:rsid w:val="00172866"/>
    <w:rsid w:val="001A410F"/>
    <w:rsid w:val="001D0148"/>
    <w:rsid w:val="001D4863"/>
    <w:rsid w:val="00220431"/>
    <w:rsid w:val="002D4A55"/>
    <w:rsid w:val="00327A77"/>
    <w:rsid w:val="00335973"/>
    <w:rsid w:val="00390D02"/>
    <w:rsid w:val="003D6038"/>
    <w:rsid w:val="00406572"/>
    <w:rsid w:val="004B7310"/>
    <w:rsid w:val="004C04E2"/>
    <w:rsid w:val="005074CE"/>
    <w:rsid w:val="00567573"/>
    <w:rsid w:val="00574D12"/>
    <w:rsid w:val="005A3D86"/>
    <w:rsid w:val="005C5AC2"/>
    <w:rsid w:val="0062434B"/>
    <w:rsid w:val="00631F8A"/>
    <w:rsid w:val="006541F9"/>
    <w:rsid w:val="0065782F"/>
    <w:rsid w:val="006725D0"/>
    <w:rsid w:val="006800E6"/>
    <w:rsid w:val="00692944"/>
    <w:rsid w:val="006C486B"/>
    <w:rsid w:val="006D3CD6"/>
    <w:rsid w:val="00716C93"/>
    <w:rsid w:val="007743A8"/>
    <w:rsid w:val="007E6281"/>
    <w:rsid w:val="00812D7E"/>
    <w:rsid w:val="008B0CD8"/>
    <w:rsid w:val="009169E0"/>
    <w:rsid w:val="009C6025"/>
    <w:rsid w:val="009C6400"/>
    <w:rsid w:val="009F1CF2"/>
    <w:rsid w:val="009F1E7C"/>
    <w:rsid w:val="009F6375"/>
    <w:rsid w:val="00A25B45"/>
    <w:rsid w:val="00A31C3B"/>
    <w:rsid w:val="00A85CA7"/>
    <w:rsid w:val="00B2708E"/>
    <w:rsid w:val="00B97C41"/>
    <w:rsid w:val="00BB557C"/>
    <w:rsid w:val="00BF3644"/>
    <w:rsid w:val="00C236EE"/>
    <w:rsid w:val="00C414B3"/>
    <w:rsid w:val="00C42247"/>
    <w:rsid w:val="00C50C07"/>
    <w:rsid w:val="00C53907"/>
    <w:rsid w:val="00C83A37"/>
    <w:rsid w:val="00C85762"/>
    <w:rsid w:val="00CA7E66"/>
    <w:rsid w:val="00CB5586"/>
    <w:rsid w:val="00CC0546"/>
    <w:rsid w:val="00CD0858"/>
    <w:rsid w:val="00CE58E1"/>
    <w:rsid w:val="00CF5B6F"/>
    <w:rsid w:val="00D144A8"/>
    <w:rsid w:val="00D319BB"/>
    <w:rsid w:val="00D6213B"/>
    <w:rsid w:val="00DC173E"/>
    <w:rsid w:val="00DC3E88"/>
    <w:rsid w:val="00DD19AD"/>
    <w:rsid w:val="00E105BC"/>
    <w:rsid w:val="00E410AD"/>
    <w:rsid w:val="00E5631E"/>
    <w:rsid w:val="00EE26D0"/>
    <w:rsid w:val="00EE6CE2"/>
    <w:rsid w:val="00F00A9C"/>
    <w:rsid w:val="00F66638"/>
    <w:rsid w:val="00F81229"/>
    <w:rsid w:val="00F832BE"/>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50</cp:revision>
  <dcterms:created xsi:type="dcterms:W3CDTF">2023-07-26T08:00:00Z</dcterms:created>
  <dcterms:modified xsi:type="dcterms:W3CDTF">2023-09-19T10:08:00Z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id="D98hhqmO"/&gt;&lt;style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8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8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9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9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9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9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9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95" name="ZOTERO_BREF_L5BuYt52vOGv_9">
    <vt:lpwstr>"https://github.com/citation-style-language/schema/raw/master/csl-citation.json"}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289"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290"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291" name="ZOTERO_BREF_5kySEONBN16Z_4">
    <vt:lpwstr>."}],"issued":{"date-parts":[["2016",10]]}}},{"id":2895,"uris":["http://zotero.org/users/10309729/items/MC44AXJN"],"itemData":{"id":2895,"type":"article-journal","container-title":"Functional Ecology","DOI":"10.1046/j.0269-8463.2001.00605.x","ISSN":"02698</vt:lpwstr>
  </property>
  <property fmtid="{D5CDD505-2E9C-101B-9397-08002B2CF9AE}" pid="292"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293" name="ZOTERO_BREF_5kySEONBN16Z_6">
    <vt:lpwstr>,"author":[{"family":"Pratt","given":"A. E."},{"family":"Mclain","given":"D. K."}],"issued":{"date-parts":[["2002",2]]}}},{"id":3014,"uris":["http://zotero.org/users/10309729/items/DD52JDBM"],"itemData":{"id":3014,"type":"article-journal","abstract":"Intr</vt:lpwstr>
  </property>
  <property fmtid="{D5CDD505-2E9C-101B-9397-08002B2CF9AE}" pid="294"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295"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296"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297"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298"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299"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300" name="ZOTERO_BREF_5kySEONBN16Z_13">
    <vt:lpwstr>:"Tiwari","given":"Shreyasi"},{"family":"Nambiar","given":"Supriya"},{"family":"Unnikrishnan","given":"Bhaskaran"}],"issued":{"date-parts":[["2017"]]}}}],"schema":"https://github.com/citation-style-language/schema/raw/master/csl-citation.json"}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y fmtid="{D5CDD505-2E9C-101B-9397-08002B2CF9AE}" pid="33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31"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32"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33"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34"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35"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36"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37"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38"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39"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40"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41" name="ZOTERO_BREF_WqoaLINSFuqY_12">
    <vt:lpwstr>ema":"https://github.com/citation-style-language/schema/raw/master/csl-citation.json"}</vt:lpwstr>
  </property>
  <property fmtid="{D5CDD505-2E9C-101B-9397-08002B2CF9AE}" pid="342"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43"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44" name="ZOTERO_BREF_dguldPDeadxx_3">
    <vt:lpwstr>.json"}</vt:lpwstr>
  </property>
  <property fmtid="{D5CDD505-2E9C-101B-9397-08002B2CF9AE}" pid="34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34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34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4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4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5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5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5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53" name="ZOTERO_BREF_iRw2R6aZcixc_9">
    <vt:lpwstr>roecker","given":"Philipp"}],"issued":{"date-parts":[["2020",2,14]]}}}],"schema":"https://github.com/citation-style-language/schema/raw/master/csl-citation.json"}</vt:lpwstr>
  </property>
</Properties>
</file>