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 modularity and conspicuous asymmetry in the insect head and mandibles.</w:t>
      </w:r>
    </w:p>
    <w:p>
      <w:pPr>
        <w:pStyle w:val="Normal"/>
        <w:jc w:val="both"/>
        <w:rPr>
          <w:lang w:val="de-DE"/>
        </w:rPr>
      </w:pPr>
      <w:r>
        <w:rPr>
          <w:lang w:val="de-DE"/>
        </w:rPr>
      </w:r>
    </w:p>
    <w:p>
      <w:pPr>
        <w:pStyle w:val="Normal"/>
        <w:jc w:val="both"/>
        <w:rPr>
          <w:b/>
          <w:b/>
          <w:bCs/>
        </w:rPr>
      </w:pPr>
      <w:r>
        <w:rPr>
          <w:b/>
          <w:bCs/>
        </w:rPr>
        <w:t xml:space="preserve">Running head. </w:t>
      </w:r>
      <w:r>
        <w:rPr>
          <w:b w:val="false"/>
          <w:bCs w:val="false"/>
        </w:rPr>
        <w:t>M</w:t>
      </w:r>
      <w:r>
        <w:rPr>
          <w:b w:val="false"/>
          <w:bCs w:val="false"/>
          <w:lang w:val="en-US"/>
        </w:rPr>
        <w:t>odularity and conspicuous asymmetry</w:t>
      </w:r>
    </w:p>
    <w:p>
      <w:pPr>
        <w:pStyle w:val="Normal"/>
        <w:jc w:val="both"/>
        <w:rPr>
          <w:b/>
          <w:b/>
          <w:bCs/>
        </w:rPr>
      </w:pPr>
      <w:r>
        <w:rPr>
          <w:b/>
          <w:bCs/>
        </w:rPr>
      </w:r>
    </w:p>
    <w:p>
      <w:pPr>
        <w:pStyle w:val="Normal"/>
        <w:jc w:val="both"/>
        <w:rPr>
          <w:lang w:val="de-DE"/>
        </w:rPr>
      </w:pPr>
      <w:r>
        <w:rPr>
          <w:b/>
          <w:bCs/>
          <w:lang w:val="de-DE"/>
        </w:rPr>
        <w:t>Authors.</w:t>
      </w:r>
      <w:r>
        <w:rPr>
          <w:lang w:val="de-DE"/>
        </w:rPr>
        <w:t xml:space="preserve"> Samuel Ginot</w:t>
      </w:r>
      <w:r>
        <w:rPr>
          <w:vertAlign w:val="superscript"/>
          <w:lang w:val="de-DE"/>
        </w:rPr>
        <w:t>1,2</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vertAlign w:val="superscript"/>
          <w:lang w:val="de-DE"/>
        </w:rPr>
        <w:t>1</w:t>
      </w:r>
      <w:r>
        <w:rPr>
          <w:lang w:val="de-DE"/>
        </w:rPr>
        <w:t>Bonner Institut für Organismische Biologie, Universität Bonn, Germany.</w:t>
      </w:r>
    </w:p>
    <w:p>
      <w:pPr>
        <w:pStyle w:val="Normal"/>
        <w:jc w:val="both"/>
        <w:rPr>
          <w:lang w:val="de-DE"/>
        </w:rPr>
      </w:pPr>
      <w:r>
        <w:rPr>
          <w:vertAlign w:val="superscript"/>
        </w:rPr>
        <w:t>2</w:t>
      </w:r>
      <w:r>
        <w:rPr/>
        <w:t xml:space="preserve">Corresponding author. </w:t>
      </w:r>
    </w:p>
    <w:p>
      <w:pPr>
        <w:pStyle w:val="Normal"/>
        <w:jc w:val="both"/>
        <w:rPr>
          <w:lang w:val="de-DE"/>
        </w:rPr>
      </w:pPr>
      <w:r>
        <w:rPr>
          <w:b w:val="false"/>
          <w:bCs w:val="false"/>
        </w:rPr>
        <w:t xml:space="preserve">Email: </w:t>
      </w:r>
      <w:r>
        <w:rPr/>
        <w:t xml:space="preserve">ginotsam@gmail.com. </w:t>
      </w:r>
    </w:p>
    <w:p>
      <w:pPr>
        <w:pStyle w:val="Normal"/>
        <w:jc w:val="both"/>
        <w:rPr>
          <w:lang w:val="de-DE"/>
        </w:rPr>
      </w:pPr>
      <w:r>
        <w:rPr>
          <w:b w:val="false"/>
          <w:bCs w:val="false"/>
        </w:rPr>
        <w:t>Mailing adress:</w:t>
      </w:r>
      <w:r>
        <w:rPr/>
        <w:t xml:space="preserve"> </w:t>
      </w:r>
      <w:r>
        <w:rPr>
          <w:rStyle w:val="Accentuationforte"/>
          <w:b w:val="false"/>
          <w:bCs w:val="false"/>
        </w:rPr>
        <w:t>An der Immenburg 1, 53121 Bonn, Germany.</w:t>
      </w:r>
    </w:p>
    <w:p>
      <w:pPr>
        <w:pStyle w:val="Normal"/>
        <w:jc w:val="both"/>
        <w:rPr>
          <w:lang w:val="de-DE"/>
        </w:rPr>
      </w:pPr>
      <w:r>
        <w:rPr>
          <w:lang w:val="de-DE"/>
        </w:rPr>
      </w:r>
    </w:p>
    <w:p>
      <w:pPr>
        <w:pStyle w:val="Normal"/>
        <w:jc w:val="both"/>
        <w:rPr>
          <w:lang w:val="de-DE"/>
        </w:rPr>
      </w:pPr>
      <w:r>
        <w:rPr>
          <w:rStyle w:val="Accentuationforte"/>
          <w:b/>
          <w:bCs/>
        </w:rPr>
        <w:t>Author contributions.</w:t>
      </w:r>
      <w:r>
        <w:rPr>
          <w:rStyle w:val="Accentuationforte"/>
          <w:b w:val="false"/>
          <w:bCs w:val="false"/>
        </w:rPr>
        <w:t xml:space="preserve"> SG: Design, data acquisition, first draft, review and proofing. SS: data acquisition. AB: Funding, acquisition of materials, design, review and proofing.</w:t>
      </w:r>
    </w:p>
    <w:p>
      <w:pPr>
        <w:pStyle w:val="Normal"/>
        <w:jc w:val="both"/>
        <w:rPr>
          <w:lang w:val="de-DE"/>
        </w:rPr>
      </w:pPr>
      <w:r>
        <w:rPr>
          <w:lang w:val="de-DE"/>
        </w:rPr>
      </w:r>
    </w:p>
    <w:p>
      <w:pPr>
        <w:pStyle w:val="Normal"/>
        <w:jc w:val="both"/>
        <w:rPr>
          <w:lang w:val="de-DE"/>
        </w:rPr>
      </w:pPr>
      <w:r>
        <w:rPr>
          <w:rStyle w:val="Accentuationforte"/>
          <w:b/>
          <w:bCs/>
        </w:rPr>
        <w:t>Acknowledgements.</w:t>
      </w:r>
      <w:r>
        <w:rPr>
          <w:rStyle w:val="Accentuationforte"/>
          <w:b w:val="false"/>
          <w:bCs w:val="false"/>
        </w:rPr>
        <w:t xml:space="preserve"> We thank members of our insitute (C. Edel, P. R</w:t>
      </w:r>
      <w:r>
        <w:rPr>
          <w:rStyle w:val="Accentuationforte"/>
          <w:rFonts w:eastAsia="Calibri" w:cs="" w:cstheme="minorBidi" w:eastAsiaTheme="minorHAnsi"/>
          <w:b w:val="false"/>
          <w:bCs w:val="false"/>
          <w:color w:val="auto"/>
          <w:kern w:val="0"/>
          <w:sz w:val="22"/>
          <w:szCs w:val="22"/>
          <w:lang w:val="en-DE" w:eastAsia="en-US" w:bidi="ar-SA"/>
        </w:rPr>
        <w:t>ühr, M. Relota, C. Wallnisch) for technical and methodological support and discussions.</w:t>
      </w:r>
    </w:p>
    <w:p>
      <w:pPr>
        <w:pStyle w:val="Normal"/>
        <w:jc w:val="both"/>
        <w:rPr>
          <w:lang w:val="de-DE"/>
        </w:rPr>
      </w:pPr>
      <w:r>
        <w:rPr>
          <w:lang w:val="de-DE"/>
        </w:rPr>
      </w:r>
    </w:p>
    <w:p>
      <w:pPr>
        <w:pStyle w:val="Normal"/>
        <w:jc w:val="both"/>
        <w:rPr>
          <w:lang w:val="de-DE"/>
        </w:rPr>
      </w:pPr>
      <w:r>
        <w:rPr>
          <w:rStyle w:val="Accentuationforte"/>
          <w:rFonts w:eastAsia="Calibri" w:cs="" w:cstheme="minorBidi" w:eastAsiaTheme="minorHAnsi"/>
          <w:b/>
          <w:bCs/>
          <w:color w:val="auto"/>
          <w:kern w:val="0"/>
          <w:sz w:val="22"/>
          <w:szCs w:val="22"/>
          <w:lang w:val="en-DE" w:eastAsia="en-US" w:bidi="ar-SA"/>
        </w:rPr>
        <w:t>Funding.</w:t>
      </w:r>
      <w:r>
        <w:rPr>
          <w:rStyle w:val="Accentuationforte"/>
          <w:rFonts w:eastAsia="Calibri" w:cs="" w:cstheme="minorBidi" w:eastAsiaTheme="minorHAnsi"/>
          <w:b w:val="false"/>
          <w:bCs w:val="false"/>
          <w:color w:val="auto"/>
          <w:kern w:val="0"/>
          <w:sz w:val="22"/>
          <w:szCs w:val="22"/>
          <w:lang w:val="en-DE" w:eastAsia="en-US" w:bidi="ar-SA"/>
        </w:rPr>
        <w:t xml:space="preserve"> XXX</w:t>
      </w:r>
    </w:p>
    <w:p>
      <w:pPr>
        <w:pStyle w:val="Normal"/>
        <w:jc w:val="both"/>
        <w:rPr>
          <w:lang w:val="de-DE"/>
        </w:rPr>
      </w:pPr>
      <w:r>
        <w:rPr>
          <w:lang w:val="de-DE"/>
        </w:rPr>
      </w:r>
    </w:p>
    <w:p>
      <w:pPr>
        <w:pStyle w:val="Normal"/>
        <w:jc w:val="both"/>
        <w:rPr>
          <w:b/>
          <w:b/>
          <w:bCs/>
        </w:rPr>
      </w:pPr>
      <w:r>
        <w:rPr>
          <w:b/>
          <w:bCs/>
        </w:rPr>
        <w:t>Conflict of interest.</w:t>
      </w:r>
      <w:r>
        <w:rPr>
          <w:rStyle w:val="Accentuationforte"/>
          <w:b w:val="false"/>
          <w:bCs w:val="false"/>
        </w:rPr>
        <w:t xml:space="preserve"> The authors declare no conflict of interest.</w:t>
      </w:r>
    </w:p>
    <w:p>
      <w:pPr>
        <w:pStyle w:val="Normal"/>
        <w:jc w:val="both"/>
        <w:rPr>
          <w:rStyle w:val="Accentuationforte"/>
          <w:b w:val="false"/>
          <w:b w:val="false"/>
          <w:bCs w:val="false"/>
        </w:rPr>
      </w:pPr>
      <w:r>
        <w:rPr>
          <w:b w:val="false"/>
          <w:bCs w:val="false"/>
        </w:rPr>
      </w:r>
    </w:p>
    <w:p>
      <w:pPr>
        <w:pStyle w:val="Normal"/>
        <w:jc w:val="both"/>
        <w:rPr>
          <w:b/>
          <w:b/>
          <w:bCs/>
        </w:rPr>
      </w:pPr>
      <w:r>
        <w:rPr>
          <w:rStyle w:val="Accentuationforte"/>
          <w:b/>
          <w:bCs/>
        </w:rPr>
        <w:t>Data availability.</w:t>
      </w:r>
      <w:r>
        <w:rPr>
          <w:rStyle w:val="Accentuationforte"/>
          <w:b w:val="false"/>
          <w:bCs w:val="false"/>
        </w:rPr>
        <w:t xml:space="preserve"> Landmark data is available as TPS files, as well as other raw data and R code on Github, at https://github.com/sginot/asym-real. Original 3D reconstructions of grasshopper heads are available on demand from the corresponding author, or at the Bonn Net repository.</w:t>
      </w:r>
    </w:p>
    <w:p>
      <w:pPr>
        <w:pStyle w:val="Normal"/>
        <w:jc w:val="both"/>
        <w:rPr>
          <w:lang w:val="de-DE"/>
        </w:rPr>
      </w:pPr>
      <w:r>
        <w:rPr>
          <w:lang w:val="de-DE"/>
        </w:rPr>
      </w:r>
      <w:r>
        <w:br w:type="page"/>
      </w:r>
    </w:p>
    <w:p>
      <w:pPr>
        <w:pStyle w:val="Normal"/>
        <w:jc w:val="both"/>
        <w:rPr/>
      </w:pPr>
      <w:r>
        <w:rPr>
          <w:b/>
          <w:bCs/>
          <w:lang w:val="de-DE"/>
        </w:rPr>
        <w:t>Abstract.</w:t>
      </w:r>
      <w:r>
        <w:rPr>
          <w:b w:val="false"/>
          <w:bCs w:val="false"/>
          <w:lang w:val="de-DE"/>
        </w:rPr>
        <w:t xml:space="preserve"> Bilateral symmetry is widespread across animals. Yet, even among Bilaterians, cases of conspicuous asymmetries are frequent. We propose that this breaking of the symmetrical bauplan may be related to the presence of modularity between symmetrical and asymmetrical structures, allowing co-existence of symmetrical and asymmetrical structures, as well as between the left and right sides of asymmetrical structures, allowing each side to develop a different morphology. To test this, the patterns of asymmetry and modularity in the head of the grasshopper </w:t>
      </w:r>
      <w:r>
        <w:rPr>
          <w:b w:val="false"/>
          <w:bCs w:val="false"/>
          <w:i/>
          <w:iCs/>
          <w:lang w:val="de-DE"/>
        </w:rPr>
        <w:t>Schistocerca gregaria</w:t>
      </w:r>
      <w:r>
        <w:rPr>
          <w:b w:val="false"/>
          <w:bCs w:val="false"/>
          <w:lang w:val="de-DE"/>
        </w:rPr>
        <w:t xml:space="preserve"> </w:t>
      </w:r>
      <w:r>
        <w:rPr>
          <w:b w:val="false"/>
          <w:bCs w:val="false"/>
          <w:lang w:val="en-US"/>
        </w:rPr>
        <w:t>(Forskål, 1775) were scrutinized. Results confirm the presence of conspicuous directional asymmetry, in particular in the mandibles, and show significant modularity between mandibles and the rest of the head. Modularity was also found, to a lesser degree, between left and right mandibles, and between the ventral and dorsal structures of the head capsule. These results constitute some of the first evidence that modularity may be involved in the appearance of conspicuous asymmetry. Finally, we hope to motivate more research in this direction, by proposing ways in which future studies could confirm or infirm this putative link at larger evolutionary scales.</w:t>
      </w:r>
    </w:p>
    <w:p>
      <w:pPr>
        <w:pStyle w:val="Normal"/>
        <w:jc w:val="both"/>
        <w:rPr>
          <w:b/>
          <w:b/>
          <w:bCs/>
          <w:lang w:val="de-DE"/>
        </w:rPr>
      </w:pPr>
      <w:r>
        <w:rPr>
          <w:b/>
          <w:bCs/>
          <w:lang w:val="de-DE"/>
        </w:rPr>
        <w:t xml:space="preserve">Keywords. </w:t>
      </w:r>
      <w:r>
        <w:rPr>
          <w:b w:val="false"/>
          <w:bCs w:val="false"/>
          <w:lang w:val="de-DE"/>
        </w:rPr>
        <w:t>Bite force, Covariance ratio, EMMLi, geometric morphometrics, 3D landmarks, Orthoptera.</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internal organs can be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The differences between left and right sides can be subtle, requiring precise quantitative measurements to be detected, or conspicuous, i.e. visible directly upon observation. Among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extreme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the presence of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used to shear and crush food items, and their asymmetric shapes allow the distal parts (incisivi)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structures being to some extent physically independent, but sharing a common function. In addition to a common function, left and right mandibles share a common developmental origin, being derived from one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rPr>
        <w:t>, which would increase correlations (and reduce modularity) between the conspicuously asymmetric structures and the anatomically linked structures</w:t>
      </w:r>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(iFA) and directional asymmetry (iDA)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given 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left and right mandible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coordinates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leading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appear to be the structure with the larger magnitude for FA (Supp. Fig. 1).</w:t>
      </w:r>
    </w:p>
    <w:p>
      <w:pPr>
        <w:pStyle w:val="Normal"/>
        <w:spacing w:before="0" w:after="160"/>
        <w:jc w:val="both"/>
        <w:rPr>
          <w:lang w:val="en-US"/>
        </w:rPr>
      </w:pPr>
      <w:r>
        <w:rPr>
          <w:rFonts w:cs="Calibri"/>
          <w:szCs w:val="24"/>
          <w:lang w:val="en-US"/>
        </w:rPr>
        <w:t xml:space="preserve">When using Neubauer et al.'s approach, it appears clearly that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 modules "Head-Mandibles" partition (Fig. 2A). CR suggests that all modular partitions are significantly different from the null hypothesis of no modularity, but also that differences between modular signals in all those partitions are not significantly different from each other (Table 2). It should also be noted that he partition with the second largest modular effect is the most complex model, the 4 modules "Head-Mandibles asymmetric-Sensory" partition. When running the comparison of CR tests again after module by module superimposition, the Z</w:t>
      </w:r>
      <w:r>
        <w:rPr>
          <w:rFonts w:cs="Calibri"/>
          <w:szCs w:val="24"/>
          <w:vertAlign w:val="subscript"/>
          <w:lang w:val="en-US"/>
        </w:rPr>
        <w:t>CR</w:t>
      </w:r>
      <w:r>
        <w:rPr>
          <w:rFonts w:cs="Calibri"/>
          <w:szCs w:val="24"/>
          <w:lang w:val="en-US"/>
        </w:rPr>
        <w:t xml:space="preserve"> values get lower (i.e. modular signal gets stronger) overall. This is expected, as these "local" superimposition mathematically tend to add intra-module covariance, and reduce inter-module covariance. Again, the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 modules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 by module superimposition analysis. </w:t>
      </w:r>
    </w:p>
    <w:p>
      <w:pPr>
        <w:pStyle w:val="Normal"/>
        <w:spacing w:before="0" w:after="160"/>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Integration between the left and right mandibles, as well as with the ventral half of the head.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 by module superimposition (Fig. 6, Supp. Fig. 2, R</w:t>
      </w:r>
      <w:r>
        <w:rPr>
          <w:rFonts w:eastAsia="Calibri" w:cs="Calibri" w:eastAsiaTheme="minorHAnsi"/>
          <w:color w:val="auto"/>
          <w:kern w:val="0"/>
          <w:sz w:val="22"/>
          <w:szCs w:val="24"/>
          <w:lang w:val="en-US" w:eastAsia="en-US" w:bidi="ar-SA"/>
        </w:rPr>
        <w:t>² = 0.6783, P &lt; 0.0001). Integration signal, is systematically weaker after module by module superimposition than after global superimposition. More importantly, these differences lead also to differences in significance (Supp. Fig. 2): while all tests were significant when using the global superimposition, with module by 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pPr>
        <w:pStyle w:val="Normal"/>
        <w:spacing w:before="0" w:after="160"/>
        <w:jc w:val="both"/>
        <w:rPr>
          <w:i/>
          <w:i/>
          <w:iCs/>
          <w:lang w:val="en-US"/>
        </w:rPr>
      </w:pPr>
      <w:r>
        <w:rPr>
          <w:i/>
          <w:iCs/>
          <w:lang w:val="en-US"/>
        </w:rPr>
        <w:t>Variability and correlation in bite force and asymmetry</w:t>
      </w:r>
      <w:r>
        <w:rPr>
          <w:i w:val="false"/>
          <w:iCs w:val="false"/>
          <w:lang w:val="en-US"/>
        </w:rPr>
        <w:t xml:space="preserve">. </w:t>
      </w:r>
      <w:r>
        <w:rPr>
          <w:i/>
          <w:iCs/>
          <w:lang w:val="en-US"/>
        </w:rPr>
        <w:t>In vivo</w:t>
      </w:r>
      <w:r>
        <w:rPr>
          <w:i w:val="false"/>
          <w:iCs w:val="false"/>
          <w:lang w:val="en-US"/>
        </w:rPr>
        <w:t xml:space="preserve"> bite force is  correlated neither to iDA (Pearson's correlation, r = -0.0102, t = -0.0691, df = 46, P = 0.9452), nor to iFA (r = 0.1138, t = 0.7771, df = 46, P = 0.4411), nor to iTA (r = 0.0244, t = 0.1657, df = 46, P = 0.8691). Quadratic and linear models fit to the data were all non-significant (all R</w:t>
      </w:r>
      <w:r>
        <w:rPr>
          <w:rFonts w:eastAsia="Calibri" w:cs="" w:cstheme="minorBidi" w:eastAsiaTheme="minorHAnsi"/>
          <w:i w:val="false"/>
          <w:iCs w:val="false"/>
          <w:color w:val="auto"/>
          <w:kern w:val="0"/>
          <w:sz w:val="22"/>
          <w:szCs w:val="22"/>
          <w:lang w:val="en-US" w:eastAsia="en-US" w:bidi="ar-SA"/>
        </w:rPr>
        <w:t xml:space="preserve">² &lt; 0.1, </w:t>
      </w:r>
      <w:r>
        <w:rPr>
          <w:i w:val="false"/>
          <w:iCs w:val="false"/>
          <w:lang w:val="en-US"/>
        </w:rPr>
        <w:t xml:space="preserve">all P &gt; 0.2, Fig. 7). This result held whether we used iDA, iFA, iTA, or iDA restricted to only the mandibles. The </w:t>
      </w:r>
      <w:r>
        <w:rPr>
          <w:rFonts w:cs="Calibri"/>
          <w:i w:val="false"/>
          <w:iCs w:val="false"/>
          <w:lang w:val="en-US"/>
        </w:rPr>
        <w:t>coefficients of phenotypic variation (CV</w:t>
      </w:r>
      <w:r>
        <w:rPr>
          <w:rFonts w:cs="Calibri"/>
          <w:i w:val="false"/>
          <w:iCs w:val="false"/>
          <w:vertAlign w:val="subscript"/>
          <w:lang w:val="en-US"/>
        </w:rPr>
        <w:t>p</w:t>
      </w:r>
      <w:r>
        <w:rPr>
          <w:rFonts w:cs="Calibri"/>
          <w:i w:val="false"/>
          <w:iCs w:val="false"/>
          <w:lang w:val="en-US"/>
        </w:rPr>
        <w:t>) were rather low for iTA (CV</w:t>
      </w:r>
      <w:r>
        <w:rPr>
          <w:rFonts w:cs="Calibri"/>
          <w:i w:val="false"/>
          <w:iCs w:val="false"/>
          <w:vertAlign w:val="subscript"/>
          <w:lang w:val="en-US"/>
        </w:rPr>
        <w:t xml:space="preserve">p </w:t>
      </w:r>
      <w:r>
        <w:rPr>
          <w:rFonts w:cs="Calibri"/>
          <w:i w:val="false"/>
          <w:iCs w:val="false"/>
          <w:position w:val="0"/>
          <w:sz w:val="22"/>
          <w:sz w:val="22"/>
          <w:vertAlign w:val="baseline"/>
          <w:lang w:val="en-US"/>
        </w:rPr>
        <w:t xml:space="preserve">= 0.1716) </w:t>
      </w:r>
      <w:r>
        <w:rPr>
          <w:rFonts w:cs="Calibri"/>
          <w:i w:val="false"/>
          <w:iCs w:val="false"/>
          <w:lang w:val="en-US"/>
        </w:rPr>
        <w:t>and iDA (CV</w:t>
      </w:r>
      <w:r>
        <w:rPr>
          <w:rFonts w:cs="Calibri"/>
          <w:i w:val="false"/>
          <w:iCs w:val="false"/>
          <w:vertAlign w:val="subscript"/>
          <w:lang w:val="en-US"/>
        </w:rPr>
        <w:t xml:space="preserve">p </w:t>
      </w:r>
      <w:r>
        <w:rPr>
          <w:rFonts w:cs="Calibri"/>
          <w:i w:val="false"/>
          <w:iCs w:val="false"/>
          <w:position w:val="0"/>
          <w:sz w:val="22"/>
          <w:sz w:val="22"/>
          <w:vertAlign w:val="baseline"/>
          <w:lang w:val="en-US"/>
        </w:rPr>
        <w:t>= 0.2128), slightly higher for bite force (CV</w:t>
      </w:r>
      <w:r>
        <w:rPr>
          <w:rFonts w:cs="Calibri"/>
          <w:i w:val="false"/>
          <w:iCs w:val="false"/>
          <w:vertAlign w:val="subscript"/>
          <w:lang w:val="en-US"/>
        </w:rPr>
        <w:t xml:space="preserve">p </w:t>
      </w:r>
      <w:r>
        <w:rPr>
          <w:rFonts w:cs="Calibri"/>
          <w:i w:val="false"/>
          <w:iCs w:val="false"/>
          <w:position w:val="0"/>
          <w:sz w:val="22"/>
          <w:sz w:val="22"/>
          <w:vertAlign w:val="baseline"/>
          <w:lang w:val="en-US"/>
        </w:rPr>
        <w:t>= 0.3147), and very high for iFA (CV</w:t>
      </w:r>
      <w:r>
        <w:rPr>
          <w:rFonts w:cs="Calibri"/>
          <w:i w:val="false"/>
          <w:iCs w:val="false"/>
          <w:vertAlign w:val="subscript"/>
          <w:lang w:val="en-US"/>
        </w:rPr>
        <w:t xml:space="preserve">p </w:t>
      </w:r>
      <w:r>
        <w:rPr>
          <w:rFonts w:cs="Calibri"/>
          <w:i w:val="false"/>
          <w:iCs w:val="false"/>
          <w:position w:val="0"/>
          <w:sz w:val="22"/>
          <w:sz w:val="22"/>
          <w:vertAlign w:val="baseline"/>
          <w:lang w:val="en-US"/>
        </w:rPr>
        <w:t>= 1.2334). For reference we also computed CV</w:t>
      </w:r>
      <w:r>
        <w:rPr>
          <w:rFonts w:cs="Calibri"/>
          <w:i w:val="false"/>
          <w:iCs w:val="false"/>
          <w:vertAlign w:val="subscript"/>
          <w:lang w:val="en-US"/>
        </w:rPr>
        <w:t xml:space="preserve">p </w:t>
      </w:r>
      <w:r>
        <w:rPr>
          <w:rFonts w:cs="Calibri"/>
          <w:i w:val="false"/>
          <w:iCs w:val="false"/>
          <w:position w:val="0"/>
          <w:sz w:val="22"/>
          <w:sz w:val="22"/>
          <w:vertAlign w:val="baseline"/>
          <w:lang w:val="en-US"/>
        </w:rPr>
        <w:t>for head centroid size, which had a much lower value of CV</w:t>
      </w:r>
      <w:r>
        <w:rPr>
          <w:rFonts w:cs="Calibri"/>
          <w:i w:val="false"/>
          <w:iCs w:val="false"/>
          <w:vertAlign w:val="subscript"/>
          <w:lang w:val="en-US"/>
        </w:rPr>
        <w:t xml:space="preserve">p </w:t>
      </w:r>
      <w:r>
        <w:rPr>
          <w:rFonts w:cs="Calibri"/>
          <w:i w:val="false"/>
          <w:iCs w:val="false"/>
          <w:position w:val="0"/>
          <w:sz w:val="22"/>
          <w:sz w:val="22"/>
          <w:vertAlign w:val="baseline"/>
          <w:lang w:val="en-US"/>
        </w:rPr>
        <w:t>= 0.0506.</w:t>
      </w:r>
    </w:p>
    <w:p>
      <w:pPr>
        <w:pStyle w:val="Normal"/>
        <w:spacing w:before="0" w:after="160"/>
        <w:jc w:val="both"/>
        <w:rPr>
          <w:b/>
          <w:b/>
          <w:bCs/>
          <w:i/>
          <w:i/>
          <w:iCs/>
          <w:lang w:val="en-US"/>
        </w:rPr>
      </w:pPr>
      <w:r>
        <w:rPr>
          <w:rFonts w:cs="Calibri"/>
          <w:b/>
          <w:bCs/>
          <w:i w:val="false"/>
          <w:iCs w:val="false"/>
          <w:position w:val="0"/>
          <w:sz w:val="22"/>
          <w:sz w:val="22"/>
          <w:vertAlign w:val="baseline"/>
          <w:lang w:val="en-US"/>
        </w:rPr>
        <w:t>Discussion</w:t>
      </w:r>
    </w:p>
    <w:p>
      <w:pPr>
        <w:pStyle w:val="Normal"/>
        <w:spacing w:before="0" w:after="160"/>
        <w:jc w:val="both"/>
        <w:rPr>
          <w:i/>
          <w:i/>
          <w:iCs/>
          <w:lang w:val="en-US"/>
        </w:rPr>
      </w:pPr>
      <w:r>
        <w:rPr>
          <w:rFonts w:cs="Calibri"/>
          <w:i w:val="false"/>
          <w:iCs w:val="false"/>
          <w:position w:val="0"/>
          <w:sz w:val="22"/>
          <w:sz w:val="22"/>
          <w:vertAlign w:val="baseline"/>
          <w:lang w:val="en-US"/>
        </w:rPr>
        <w:t xml:space="preserve">In this study, we showed large and significant directional asymmetry (DA) in the head of the grasshopper </w:t>
      </w:r>
      <w:r>
        <w:rPr>
          <w:rFonts w:cs="Calibri"/>
          <w:i/>
          <w:iCs/>
          <w:position w:val="0"/>
          <w:sz w:val="22"/>
          <w:sz w:val="22"/>
          <w:vertAlign w:val="baseline"/>
          <w:lang w:val="en-US"/>
        </w:rPr>
        <w:t>Schistocerca gregaria</w:t>
      </w:r>
      <w:r>
        <w:rPr>
          <w:rFonts w:cs="Calibri"/>
          <w:i w:val="false"/>
          <w:iCs w:val="false"/>
          <w:position w:val="0"/>
          <w:sz w:val="22"/>
          <w:sz w:val="22"/>
          <w:vertAlign w:val="baseline"/>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spacing w:before="0" w:after="160"/>
        <w:jc w:val="both"/>
        <w:rPr>
          <w:i/>
          <w:i/>
          <w:iCs/>
          <w:lang w:val="en-US"/>
        </w:rPr>
      </w:pPr>
      <w:r>
        <w:rPr>
          <w:rFonts w:cs="Calibri"/>
          <w:i/>
          <w:iCs/>
          <w:position w:val="0"/>
          <w:sz w:val="22"/>
          <w:sz w:val="22"/>
          <w:vertAlign w:val="baseline"/>
          <w:lang w:val="en-US"/>
        </w:rPr>
        <w:t>Asymmetry "spill-over" and modularity within the head</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38" w:name="ZOTERO_BREF_vtiJwxJ8d6g1"/>
      <w:r>
        <w:rPr>
          <w:rFonts w:cs="Calibri"/>
          <w:i w:val="false"/>
          <w:iCs w:val="false"/>
          <w:position w:val="0"/>
          <w:sz w:val="22"/>
          <w:sz w:val="22"/>
          <w:vertAlign w:val="baseline"/>
          <w:lang w:val="en-US"/>
        </w:rPr>
        <w:t>(Weihmann &amp; Wipfler, 2019)</w:t>
      </w:r>
      <w:bookmarkEnd w:id="38"/>
      <w:r>
        <w:rPr/>
        <w:t xml:space="preserve"> (Ginot &amp; Blanke under review)</w:t>
      </w:r>
      <w:r>
        <w:rPr>
          <w:rFonts w:cs="Calibri"/>
          <w:i w:val="false"/>
          <w:iCs w:val="false"/>
          <w:position w:val="0"/>
          <w:sz w:val="22"/>
          <w:sz w:val="22"/>
          <w:vertAlign w:val="baseline"/>
          <w:lang w:val="en-US"/>
        </w:rPr>
        <w:t>. The limited DA observed in this dorsal region may therefore be explained by selection for maintenance of symmetry, related to the sensory organs, which could be achieved by reinforcements of the cuticle, as observed for example around the eyes. Such selective constraint may not be as strong in the ventral half of the head, which does not have symmetrical sensory organs.</w:t>
      </w:r>
    </w:p>
    <w:p>
      <w:pPr>
        <w:pStyle w:val="Normal"/>
        <w:rPr/>
      </w:pPr>
      <w:r>
        <w:rPr>
          <w:rFonts w:cs="Calibri"/>
          <w:i/>
          <w:iCs/>
          <w:position w:val="0"/>
          <w:sz w:val="22"/>
          <w:sz w:val="22"/>
          <w:vertAlign w:val="baseline"/>
          <w:lang w:val="en-US"/>
        </w:rPr>
        <w:t>Linking conspicuous asymmetry with modularity.</w:t>
      </w:r>
      <w:r>
        <w:rPr>
          <w:rFonts w:cs="Calibri"/>
          <w:i w:val="false"/>
          <w:iCs w:val="false"/>
          <w:position w:val="0"/>
          <w:sz w:val="22"/>
          <w:sz w:val="22"/>
          <w:vertAlign w:val="baseline"/>
          <w:lang w:val="en-US"/>
        </w:rPr>
        <w:t xml:space="preserve"> </w:t>
      </w:r>
    </w:p>
    <w:p>
      <w:pPr>
        <w:pStyle w:val="Normal"/>
        <w:rPr/>
      </w:pPr>
      <w:r>
        <w:rPr>
          <w:rFonts w:cs="Calibri"/>
          <w:i w:val="false"/>
          <w:iCs w:val="false"/>
          <w:position w:val="0"/>
          <w:sz w:val="22"/>
          <w:sz w:val="22"/>
          <w:vertAlign w:val="baseline"/>
          <w:lang w:val="en-US"/>
        </w:rPr>
        <w:t xml:space="preserve">Our results support that, despite being recognized as a </w:t>
      </w:r>
      <w:r>
        <w:rPr>
          <w:rFonts w:cs="Calibri"/>
          <w:i/>
          <w:iCs/>
          <w:position w:val="0"/>
          <w:sz w:val="22"/>
          <w:sz w:val="22"/>
          <w:vertAlign w:val="baseline"/>
          <w:lang w:val="en-US"/>
        </w:rPr>
        <w:t>tagma</w:t>
      </w:r>
      <w:r>
        <w:rPr>
          <w:rFonts w:cs="Calibri"/>
          <w:i w:val="false"/>
          <w:iCs w:val="false"/>
          <w:position w:val="0"/>
          <w:sz w:val="22"/>
          <w:sz w:val="22"/>
          <w:vertAlign w:val="baseline"/>
          <w:lang w:val="en-US"/>
        </w:rPr>
        <w:t xml:space="preserve">, and therefore being an integrated anatomical unit </w:t>
      </w:r>
      <w:bookmarkStart w:id="39" w:name="ZOTERO_BREF_y0vWAZhyk2XD"/>
      <w:r>
        <w:rPr>
          <w:rFonts w:cs="Calibri"/>
          <w:i w:val="false"/>
          <w:iCs w:val="false"/>
          <w:position w:val="0"/>
          <w:sz w:val="22"/>
          <w:sz w:val="22"/>
          <w:vertAlign w:val="baseline"/>
          <w:lang w:val="en-US"/>
        </w:rPr>
        <w:t>(Minelli et al., 2013)</w:t>
      </w:r>
      <w:bookmarkEnd w:id="39"/>
      <w:r>
        <w:rPr>
          <w:rFonts w:cs="Calibri"/>
          <w:i w:val="false"/>
          <w:iCs w:val="false"/>
          <w:position w:val="0"/>
          <w:sz w:val="22"/>
          <w:sz w:val="22"/>
          <w:vertAlign w:val="baseline"/>
          <w:lang w:val="en-US"/>
        </w:rPr>
        <w:t xml:space="preserve">, the insect head is also to some extent modular. This result fits with the fact that different parts of the head derive developmentally from various specialized segments </w:t>
      </w:r>
      <w:bookmarkStart w:id="40" w:name="ZOTERO_BREF_70wft38ECdda"/>
      <w:r>
        <w:rPr>
          <w:rFonts w:cs="Calibri"/>
          <w:i w:val="false"/>
          <w:iCs w:val="false"/>
          <w:position w:val="0"/>
          <w:sz w:val="22"/>
          <w:sz w:val="22"/>
          <w:vertAlign w:val="baseline"/>
          <w:lang w:val="en-US"/>
        </w:rPr>
        <w:t>(Posnien &amp; Bucher, 2010)</w:t>
      </w:r>
      <w:bookmarkEnd w:id="40"/>
      <w:r>
        <w:rPr>
          <w:rFonts w:cs="Calibri"/>
          <w:i w:val="false"/>
          <w:iCs w:val="false"/>
          <w:position w:val="0"/>
          <w:sz w:val="22"/>
          <w:sz w:val="22"/>
          <w:vertAlign w:val="baseline"/>
          <w:lang w:val="en-US"/>
        </w:rPr>
        <w:t>, which are then used for different functions. As such, we proposed that the mandibles would form a functional module for feeding, while the dorsal half of the head would make up a functional module for sensing. Within the feeding module formed by mandibles, we also proposed that the conspicuously asymmetric mandible shapes could be explained by developmental modularity between left and right.</w:t>
      </w:r>
    </w:p>
    <w:p>
      <w:pPr>
        <w:pStyle w:val="Normal"/>
        <w:rPr/>
      </w:pPr>
      <w:r>
        <w:rPr>
          <w:rFonts w:cs="Calibri"/>
          <w:i w:val="false"/>
          <w:iCs w:val="false"/>
          <w:position w:val="0"/>
          <w:sz w:val="22"/>
          <w:sz w:val="22"/>
          <w:vertAlign w:val="baseline"/>
          <w:lang w:val="en-US"/>
        </w:rPr>
        <w:t xml:space="preserve">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1" w:name="ZOTERO_BREF_iQAmma8wn06h"/>
      <w:r>
        <w:rPr>
          <w:rFonts w:cs="Calibri"/>
          <w:i w:val="false"/>
          <w:iCs w:val="false"/>
          <w:position w:val="0"/>
          <w:sz w:val="22"/>
          <w:sz w:val="22"/>
          <w:vertAlign w:val="baseline"/>
          <w:lang w:val="en-US"/>
        </w:rPr>
        <w:t>(Adams &amp; Collyer, 2019)</w:t>
      </w:r>
      <w:bookmarkEnd w:id="41"/>
      <w:r>
        <w:rP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as suggested in the Introduction, to achieve conspicuously different morphologies, left and right mandible developmental pathways must be to some extent divergent </w:t>
      </w:r>
      <w:bookmarkStart w:id="42" w:name="ZOTERO_BREF_hAtWOIK1s3WR"/>
      <w:r>
        <w:rPr/>
        <w:t>(Meinhardt, 2001; Palmer, 2004)</w:t>
      </w:r>
      <w:bookmarkEnd w:id="42"/>
      <w:r>
        <w:rP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We propose that this FA, which correlates to the mandibles DA (Fig. 4), may be mostly caused by mandible wear. Because FA is of random direction, it may in turn reduce the correlation between left and right mandible shapes.</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rPr>
          <w:position w:val="0"/>
          <w:sz w:val="22"/>
          <w:sz w:val="22"/>
          <w:vertAlign w:val="baseline"/>
        </w:rPr>
        <w:t xml:space="preserve"> of iTA and iDA, which fall in the range of adaptively accurate characters under selection </w:t>
      </w:r>
      <w:bookmarkStart w:id="43" w:name="ZOTERO_BREF_HUyDELwvmtSo"/>
      <w:r>
        <w:rPr>
          <w:b w:val="false"/>
          <w:i w:val="false"/>
          <w:caps w:val="false"/>
          <w:smallCaps w:val="false"/>
          <w:position w:val="0"/>
          <w:sz w:val="22"/>
          <w:sz w:val="22"/>
          <w:u w:val="none"/>
          <w:vertAlign w:val="baseline"/>
        </w:rPr>
        <w:t>(Hansen et al., 2006; Pélabon &amp; Hansen, 2008)</w:t>
      </w:r>
      <w:bookmarkEnd w:id="43"/>
      <w:r>
        <w:rPr/>
        <w:t xml:space="preserve">. Variational modularity between the mandibles and the rest of the head might have been expected, considering that the mandibles consitute both a developmentally </w:t>
      </w:r>
      <w:bookmarkStart w:id="44" w:name="ZOTERO_BREF_vF2GNk5973Xc"/>
      <w:r>
        <w:rPr/>
        <w:t>(Posnien &amp; Bucher, 2010)</w:t>
      </w:r>
      <w:bookmarkEnd w:id="44"/>
      <w:r>
        <w:rPr/>
        <w:t xml:space="preserve"> and functionally distinct module. Here, we propose that modularity between the head and the mandibles may allow conspicuous asymmetry to appear in the mandibles while maintaining the head's global symmetry. This may in fact be a general rule in cases of conspicuous asymmetry arising in Bilaterians, where modularity may be a evolutionary way to relax locally the constraints of symmetry. In the case of the grasshopper, mandibles are working together to achieve a single function, which certainly constrains the degree of modularity between left and right sides. In other cases such as pincers of lobsters or fiddler crabs, left and right functions are divergent, and one might therefore expect even stronger left-right autonomy. In cases where asymmetric structures are embedded within symmetric structures, such as the Cetacean skull, one may expect that the degree of modularity between them is reduced, compared to what we observe here. One may also expect that in more symmetrical species, e.g. insects with symmetrical mandibles, Mysticetes Cetaceans which have symmetrical skulls, or crustaceans with symmetric pincers, modularity should be smaller both between left and right sides, and between the studied structure and its anatomical surroundings.</w:t>
      </w:r>
    </w:p>
    <w:p>
      <w:pPr>
        <w:pStyle w:val="Normal"/>
        <w:rPr>
          <w:i/>
          <w:i/>
          <w:iCs/>
        </w:rPr>
      </w:pPr>
      <w:r>
        <w:rPr>
          <w:i/>
          <w:iCs/>
        </w:rPr>
        <w:t>Effect of module by module superimposition on modularity analyses.</w:t>
      </w:r>
    </w:p>
    <w:p>
      <w:pPr>
        <w:pStyle w:val="Normal"/>
        <w:rPr/>
      </w:pPr>
      <w:r>
        <w:rPr>
          <w:i w:val="false"/>
          <w:iCs w:val="false"/>
        </w:rPr>
        <w:t xml:space="preserve">As mentioned earlier in the text, there is ongoing discussion in the morphometrics community about the impact of Procrustes superimposition on modularity and integration results </w:t>
      </w:r>
      <w:bookmarkStart w:id="45" w:name="ZOTERO_BREF_Yrf5xcv0GEvm"/>
      <w:r>
        <w:rPr>
          <w:i w:val="false"/>
          <w:iCs w:val="false"/>
        </w:rPr>
        <w:t>(Cardini, 2019, 2023; Zelditch &amp; Swiderski, 2023)</w:t>
      </w:r>
      <w:bookmarkEnd w:id="45"/>
      <w:r>
        <w:rPr/>
        <w:t xml:space="preserve">. Studies tackling this problem have been relying heavily on simulations. However, empirical studies have generally not inquired those possible problems. Here, we ran CR analyses twice, first in the "usual" way, with one global superimposition, and second after applying a module by 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 by 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strong decorrelation, and increasing modularity. This phenomenon had been anticipated </w:t>
      </w:r>
      <w:bookmarkStart w:id="46" w:name="ZOTERO_BREF_8JJFafQNgahK"/>
      <w:r>
        <w:rPr/>
        <w:t>(Cardini, 2019)</w:t>
      </w:r>
      <w:bookmarkEnd w:id="46"/>
      <w:r>
        <w:rPr/>
        <w:t>, and the loss of spatial and size relationships between modules is also what explains that Z</w:t>
      </w:r>
      <w:r>
        <w:rPr>
          <w:vertAlign w:val="subscript"/>
        </w:rPr>
        <w:t>CR</w:t>
      </w:r>
      <w:r>
        <w:rPr/>
        <w:t xml:space="preserve"> values are almost always higher with the module by 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it is only so in only around half of the cases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pPr>
        <w:pStyle w:val="Normal"/>
        <w:rPr/>
      </w:pPr>
      <w:r>
        <w:rPr>
          <w:i/>
          <w:iCs/>
        </w:rPr>
        <w:t>Relationship between bite force performance and asymmetry</w:t>
      </w:r>
      <w:r>
        <w:rPr/>
        <w:t>.</w:t>
      </w:r>
    </w:p>
    <w:p>
      <w:pPr>
        <w:pStyle w:val="Normal"/>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whatsoever between bite forces and directional, total or fluctuating asymmetry (Fig. 7). Because it may be argued that proper feeding performance may in fact leave room for some large amount of variation in the fit of mandible shapes, we computed CV</w:t>
      </w:r>
      <w:r>
        <w:rPr>
          <w:vertAlign w:val="subscript"/>
        </w:rPr>
        <w:t>P</w:t>
      </w:r>
      <w:r>
        <w:rPr/>
        <w:t xml:space="preserve">, which appear in accordance with the fact that iDA and iTA are indeed under selection, with values matching those for other selected characters reviewed by </w:t>
      </w:r>
      <w:bookmarkStart w:id="47" w:name="ZOTERO_BREF_OpQL5eAzXmdr"/>
      <w:r>
        <w:rPr/>
        <w:t>(Hansen et al., 2006)</w:t>
      </w:r>
      <w:bookmarkEnd w:id="47"/>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rPr/>
        <w:t xml:space="preserve"> is higher for bite force than for iTA of iDA.</w:t>
      </w:r>
    </w:p>
    <w:p>
      <w:pPr>
        <w:pStyle w:val="Normal"/>
        <w:spacing w:before="0" w:after="160"/>
        <w:jc w:val="both"/>
        <w:rPr>
          <w:i/>
          <w:i/>
          <w:iCs/>
          <w:lang w:val="en-US"/>
        </w:rPr>
      </w:pPr>
      <w:r>
        <w:rPr>
          <w:rFonts w:cs="Calibri"/>
          <w:i/>
          <w:iCs/>
          <w:position w:val="0"/>
          <w:sz w:val="22"/>
          <w:sz w:val="22"/>
          <w:vertAlign w:val="baseline"/>
          <w:lang w:val="en-US"/>
        </w:rPr>
        <w:t>Conclusion and perspectives</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 xml:space="preserve">Modularity is often referred to as a mechanism which may favor phenotypic diversification by allowing different anatomical parts to evolve to some extent independently </w:t>
      </w:r>
      <w:bookmarkStart w:id="48" w:name="ZOTERO_BREF_WItYN1DA7AXz"/>
      <w:r>
        <w:rPr>
          <w:rFonts w:cs="Calibri"/>
          <w:i w:val="false"/>
          <w:iCs w:val="false"/>
          <w:position w:val="0"/>
          <w:sz w:val="22"/>
          <w:sz w:val="22"/>
          <w:vertAlign w:val="baseline"/>
          <w:lang w:val="en-US"/>
        </w:rPr>
        <w:t>(Zelditch &amp; Goswami, 2021)</w:t>
      </w:r>
      <w:bookmarkEnd w:id="48"/>
      <w:r>
        <w:rPr/>
        <w:t>. Our results constitute first evidence that modularity may indeed have a role in the evolution of disrupted symmetry, here in the head and mandibles of grasshoppers. This potential link between conspicuous asymmetry and modularity had, to our knowledge, never been explicitely stated yet. It is however our opinion that exploring this link further is of interest in at least two broad evolutionary biology questions. First, conspicuous asymmetries and their evolution remain largely understudied compared to subtle asymmetries, and in particular FA. Understanding how ancestrally symmetrical structures can evolve to break the classical bilaterian symmetrical bauplan locally, while maintaining overall symmetry seems like a major yet unexplored aspect of phenotypic diversification. Second, conspicuous asymmetries, which constitute a kind of "internal" diversification of homologous structures, would therefore also be a good model to test the idea that modularity is key in phenotypic diversification. We suggest three possible avenues for future studies to test this: (i) By comparing modularity levels of the same structures between related species either showing conspicuous asymmetry or not, with the expection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 We hope that this study, which is restricted in terms of taxonomic scope and conspicuous asymmetry type, may in the future motivate other groups to also explicitely look at the link between modularity and conspicuous asymmetries.</w:t>
      </w:r>
      <w:r>
        <w:br w:type="page"/>
      </w:r>
    </w:p>
    <w:p>
      <w:pPr>
        <w:pStyle w:val="Normal"/>
        <w:rPr>
          <w:b/>
          <w:b/>
          <w:bCs/>
        </w:rPr>
      </w:pPr>
      <w:r>
        <w:rPr>
          <w:b/>
          <w:bCs/>
        </w:rPr>
        <w:t>FIgure legends</w:t>
      </w:r>
    </w:p>
    <w:p>
      <w:pPr>
        <w:pStyle w:val="Normal"/>
        <w:rPr>
          <w:b/>
          <w:b/>
          <w:bCs/>
        </w:rPr>
      </w:pPr>
      <w:r>
        <w:rPr>
          <w:b/>
          <w:bCs/>
        </w:rPr>
        <w:t xml:space="preserve">Figure 1. </w:t>
      </w:r>
      <w:r>
        <w:rPr>
          <w:b w:val="false"/>
          <w:bCs w:val="false"/>
        </w:rPr>
        <w:t>Location of the 35 landmarks used in the present study, illustrated on a colorized 3D reconstruction of a grasshopper head. A. Frontal view of the head as a whole. B. Ventral view of head caspule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pPr>
        <w:pStyle w:val="Normal"/>
        <w:rPr>
          <w:b/>
          <w:b/>
          <w:bCs/>
        </w:rPr>
      </w:pPr>
      <w:r>
        <w:rPr>
          <w:b/>
          <w:bCs/>
        </w:rPr>
        <w:t>Figure 2.</w:t>
      </w:r>
      <w:r>
        <w:rPr>
          <w:b w:val="false"/>
          <w:bCs w:val="false"/>
        </w:rPr>
        <w:t xml:space="preserve"> The various modularity partitions of landmarks tested and compared in this study. Dots represent landmarks, shown in frontal view, as reminded in A. by the underlaid picture of the grasshopper head. Landmark colors do not have any specific meaning, but distinguish between each individual modules. White landmarks in F. are excluded from any module.</w:t>
      </w:r>
    </w:p>
    <w:p>
      <w:pPr>
        <w:pStyle w:val="Normal"/>
        <w:rPr>
          <w:b/>
          <w:b/>
          <w:bCs/>
        </w:rPr>
      </w:pPr>
      <w:r>
        <w:rPr>
          <w:b/>
          <w:bCs/>
        </w:rPr>
        <w:t xml:space="preserve">Figure 3. </w:t>
      </w:r>
      <w:r>
        <w:rPr>
          <w:b w:val="false"/>
          <w:bCs w:val="false"/>
        </w:rP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pPr>
        <w:pStyle w:val="Normal"/>
        <w:rPr>
          <w:b/>
          <w:b/>
          <w:bCs/>
        </w:rPr>
      </w:pPr>
      <w:r>
        <w:rPr>
          <w:b/>
          <w:bCs/>
        </w:rPr>
        <w:t>Figure 4.</w:t>
      </w:r>
      <w:r>
        <w:rPr>
          <w:b w:val="false"/>
          <w:bCs w:val="false"/>
        </w:rPr>
        <w:t xml:space="preserve"> Non-centered PCA computed from difference matrices between landmark configurations and their respective mirror configurations. Each dot represents one individual, and the center of the plot corresponds to perfect symmetry (i.e. no difference between a configuration and its mirror). The x axis represents purely directional variation, accounting for most of the asymmetric variation, while the y axis represent the first fluctuating asymmetry (FA) component. Other axes are not illustrated, but acount for </w:t>
      </w:r>
      <w:r>
        <w:rPr>
          <w:rFonts w:eastAsia="utkal" w:cs="utkal" w:ascii="utkal" w:hAnsi="utkal"/>
          <w:b w:val="false"/>
          <w:bCs w:val="false"/>
        </w:rPr>
        <w:t>≤</w:t>
      </w:r>
      <w:r>
        <w:rPr>
          <w:rFonts w:eastAsia="Calibri" w:cs=""/>
          <w:b w:val="false"/>
          <w:bCs w:val="false"/>
        </w:rPr>
        <w:t>1% of total asymmetric variation. Note the apparent correlation between the two axes.</w:t>
      </w:r>
    </w:p>
    <w:p>
      <w:pPr>
        <w:pStyle w:val="Normal"/>
        <w:rPr>
          <w:b/>
          <w:b/>
          <w:bCs/>
        </w:rPr>
      </w:pPr>
      <w:r>
        <w:rPr>
          <w:rFonts w:eastAsia="Calibri" w:cs=""/>
          <w:b/>
          <w:bCs/>
        </w:rPr>
        <w:t>Figure 5.</w:t>
      </w:r>
      <w:r>
        <w:rPr>
          <w:rFonts w:eastAsia="Calibri" w:cs=""/>
          <w:b w:val="false"/>
          <w:bCs w:val="false"/>
        </w:rPr>
        <w:t xml:space="preserve"> Barplot comparing Z</w:t>
      </w:r>
      <w:r>
        <w:rPr>
          <w:rFonts w:eastAsia="Calibri" w:cs=""/>
          <w:b w:val="false"/>
          <w:bCs w:val="false"/>
          <w:vertAlign w:val="subscript"/>
        </w:rPr>
        <w:t>CR</w:t>
      </w:r>
      <w:r>
        <w:rPr>
          <w:rFonts w:eastAsia="Calibri" w:cs=""/>
          <w:b w:val="false"/>
          <w:bCs w:val="false"/>
        </w:rPr>
        <w:t xml:space="preserve"> values (i.e. modularity effect size) across the different modularity partitions tested in this study, and between module by module Procrustes superimposition (black bars) or global Procrustes superimposition (gray bars). Note that more negative values correspond to stronger modularity.</w:t>
      </w:r>
    </w:p>
    <w:p>
      <w:pPr>
        <w:pStyle w:val="Normal"/>
        <w:rPr>
          <w:b/>
          <w:b/>
          <w:bCs/>
        </w:rPr>
      </w:pPr>
      <w:r>
        <w:rPr>
          <w:rFonts w:eastAsia="Calibri" w:cs=""/>
          <w:b/>
          <w:bCs/>
        </w:rPr>
        <w:t xml:space="preserve">Figure 6. </w:t>
      </w:r>
      <w:r>
        <w:rPr>
          <w:rFonts w:eastAsia="Calibri" w:cs=""/>
          <w:b w:val="false"/>
          <w:bCs w:val="false"/>
        </w:rPr>
        <w:t>Module pairwise integration, as represented by r-PLS values. Colors do not have a specific meaning but distinguish between individual modules. The width of the gray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 by module superimposition. Note the latter values are always smaller than the former, which is explained by the loss of spatial and size covariance after module by module superimposition. Note that r-PLS values are not standardized effect sizes, and should therefore not be compared between the different partitions.</w:t>
      </w:r>
    </w:p>
    <w:p>
      <w:pPr>
        <w:pStyle w:val="Normal"/>
        <w:rPr>
          <w:b/>
          <w:b/>
          <w:bCs/>
        </w:rPr>
      </w:pPr>
      <w:r>
        <w:rPr>
          <w:rFonts w:eastAsia="Calibri" w:cs=""/>
          <w:b/>
          <w:bCs/>
        </w:rPr>
        <w:t>Figure 7.</w:t>
      </w:r>
      <w:r>
        <w:rPr>
          <w:rFonts w:eastAsia="Calibri" w:cs=""/>
          <w:b w:val="false"/>
          <w:bCs w:val="false"/>
        </w:rPr>
        <w:t xml:space="preserve"> Individual </w:t>
      </w:r>
      <w:r>
        <w:rPr>
          <w:rFonts w:eastAsia="Calibri" w:cs=""/>
          <w:b w:val="false"/>
          <w:bCs w:val="false"/>
          <w:i/>
          <w:iCs/>
        </w:rPr>
        <w:t>in vivo</w:t>
      </w:r>
      <w:r>
        <w:rPr>
          <w:rFonts w:eastAsia="Calibri" w:cs=""/>
          <w:b w:val="false"/>
          <w:bCs w:val="false"/>
          <w:i w:val="false"/>
          <w:iCs w:val="false"/>
        </w:rPr>
        <w:t xml:space="preserve"> bite forces plotted against the various indices of individual asymmetry computed in our study. Dashed gray lines show non-significant fitted quadratic regressions.</w:t>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78"/>
        <w:gridCol w:w="676"/>
        <w:gridCol w:w="1141"/>
        <w:gridCol w:w="1185"/>
        <w:gridCol w:w="1139"/>
        <w:gridCol w:w="1411"/>
        <w:gridCol w:w="1202"/>
        <w:gridCol w:w="1062"/>
      </w:tblGrid>
      <w:tr>
        <w:trPr>
          <w:trHeight w:val="256" w:hRule="atLeast"/>
        </w:trPr>
        <w:tc>
          <w:tcPr>
            <w:tcW w:w="1078" w:type="dxa"/>
            <w:tcBorders/>
            <w:vAlign w:val="center"/>
          </w:tcPr>
          <w:p>
            <w:pPr>
              <w:pStyle w:val="Normal"/>
              <w:widowControl w:val="false"/>
              <w:tabs>
                <w:tab w:val="clear" w:pos="720"/>
              </w:tabs>
              <w:spacing w:before="0" w:after="160"/>
              <w:jc w:val="center"/>
              <w:rPr/>
            </w:pPr>
            <w:r>
              <w:rPr/>
            </w:r>
          </w:p>
        </w:tc>
        <w:tc>
          <w:tcPr>
            <w:tcW w:w="676" w:type="dxa"/>
            <w:tcBorders/>
            <w:vAlign w:val="center"/>
          </w:tcPr>
          <w:p>
            <w:pPr>
              <w:pStyle w:val="Normal"/>
              <w:widowControl w:val="false"/>
              <w:tabs>
                <w:tab w:val="clear" w:pos="720"/>
              </w:tabs>
              <w:spacing w:before="0" w:after="160"/>
              <w:jc w:val="center"/>
              <w:rPr/>
            </w:pPr>
            <w:r>
              <w:rPr/>
              <w:t>Df</w:t>
            </w:r>
          </w:p>
        </w:tc>
        <w:tc>
          <w:tcPr>
            <w:tcW w:w="1141" w:type="dxa"/>
            <w:tcBorders/>
            <w:vAlign w:val="center"/>
          </w:tcPr>
          <w:p>
            <w:pPr>
              <w:pStyle w:val="Normal"/>
              <w:widowControl w:val="false"/>
              <w:tabs>
                <w:tab w:val="clear" w:pos="720"/>
              </w:tabs>
              <w:spacing w:before="0" w:after="160"/>
              <w:jc w:val="center"/>
              <w:rPr/>
            </w:pPr>
            <w:r>
              <w:rPr/>
              <w:t>SS</w:t>
            </w:r>
          </w:p>
        </w:tc>
        <w:tc>
          <w:tcPr>
            <w:tcW w:w="1185" w:type="dxa"/>
            <w:tcBorders/>
            <w:vAlign w:val="center"/>
          </w:tcPr>
          <w:p>
            <w:pPr>
              <w:pStyle w:val="Normal"/>
              <w:widowControl w:val="false"/>
              <w:tabs>
                <w:tab w:val="clear" w:pos="720"/>
              </w:tabs>
              <w:spacing w:before="0" w:after="160"/>
              <w:jc w:val="center"/>
              <w:rPr/>
            </w:pPr>
            <w:r>
              <w:rPr/>
              <w:t>MS</w:t>
            </w:r>
          </w:p>
        </w:tc>
        <w:tc>
          <w:tcPr>
            <w:tcW w:w="1139" w:type="dxa"/>
            <w:tcBorders/>
            <w:vAlign w:val="center"/>
          </w:tcPr>
          <w:p>
            <w:pPr>
              <w:pStyle w:val="Normal"/>
              <w:widowControl w:val="false"/>
              <w:tabs>
                <w:tab w:val="clear" w:pos="720"/>
              </w:tabs>
              <w:spacing w:before="0" w:after="160"/>
              <w:jc w:val="center"/>
              <w:rPr/>
            </w:pPr>
            <w:r>
              <w:rPr/>
              <w:t>Rsq</w:t>
            </w:r>
          </w:p>
        </w:tc>
        <w:tc>
          <w:tcPr>
            <w:tcW w:w="1411" w:type="dxa"/>
            <w:tcBorders/>
            <w:vAlign w:val="center"/>
          </w:tcPr>
          <w:p>
            <w:pPr>
              <w:pStyle w:val="Normal"/>
              <w:widowControl w:val="false"/>
              <w:tabs>
                <w:tab w:val="clear" w:pos="720"/>
              </w:tabs>
              <w:spacing w:before="0" w:after="160"/>
              <w:jc w:val="center"/>
              <w:rPr/>
            </w:pPr>
            <w:r>
              <w:rPr/>
              <w:t>F</w:t>
            </w:r>
          </w:p>
        </w:tc>
        <w:tc>
          <w:tcPr>
            <w:tcW w:w="1202" w:type="dxa"/>
            <w:tcBorders/>
            <w:vAlign w:val="center"/>
          </w:tcPr>
          <w:p>
            <w:pPr>
              <w:pStyle w:val="Normal"/>
              <w:widowControl w:val="false"/>
              <w:tabs>
                <w:tab w:val="clear" w:pos="720"/>
              </w:tabs>
              <w:spacing w:before="0" w:after="160"/>
              <w:jc w:val="center"/>
              <w:rPr/>
            </w:pPr>
            <w:r>
              <w:rPr/>
              <w:t>Z</w:t>
            </w:r>
          </w:p>
        </w:tc>
        <w:tc>
          <w:tcPr>
            <w:tcW w:w="1062" w:type="dxa"/>
            <w:tcBorders/>
            <w:vAlign w:val="center"/>
          </w:tcPr>
          <w:p>
            <w:pPr>
              <w:pStyle w:val="Normal"/>
              <w:widowControl w:val="false"/>
              <w:tabs>
                <w:tab w:val="clear" w:pos="720"/>
              </w:tabs>
              <w:spacing w:before="0" w:after="160"/>
              <w:jc w:val="center"/>
              <w:rPr/>
            </w:pPr>
            <w:r>
              <w:rPr/>
              <w:t>Pr..F.</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0.14689</w:t>
            </w:r>
          </w:p>
        </w:tc>
        <w:tc>
          <w:tcPr>
            <w:tcW w:w="1185" w:type="dxa"/>
            <w:tcBorders/>
            <w:vAlign w:val="center"/>
          </w:tcPr>
          <w:p>
            <w:pPr>
              <w:pStyle w:val="Normal"/>
              <w:widowControl w:val="false"/>
              <w:tabs>
                <w:tab w:val="clear" w:pos="720"/>
              </w:tabs>
              <w:spacing w:before="0" w:after="160"/>
              <w:jc w:val="center"/>
              <w:rPr/>
            </w:pPr>
            <w:r>
              <w:rPr/>
              <w:t>0.00306</w:t>
            </w:r>
          </w:p>
        </w:tc>
        <w:tc>
          <w:tcPr>
            <w:tcW w:w="1139" w:type="dxa"/>
            <w:tcBorders/>
            <w:vAlign w:val="center"/>
          </w:tcPr>
          <w:p>
            <w:pPr>
              <w:pStyle w:val="Normal"/>
              <w:widowControl w:val="false"/>
              <w:tabs>
                <w:tab w:val="clear" w:pos="720"/>
              </w:tabs>
              <w:spacing w:before="0" w:after="160"/>
              <w:jc w:val="center"/>
              <w:rPr/>
            </w:pPr>
            <w:r>
              <w:rPr/>
              <w:t>0.24838</w:t>
            </w:r>
          </w:p>
        </w:tc>
        <w:tc>
          <w:tcPr>
            <w:tcW w:w="1411" w:type="dxa"/>
            <w:tcBorders/>
            <w:vAlign w:val="center"/>
          </w:tcPr>
          <w:p>
            <w:pPr>
              <w:pStyle w:val="Normal"/>
              <w:widowControl w:val="false"/>
              <w:tabs>
                <w:tab w:val="clear" w:pos="720"/>
              </w:tabs>
              <w:spacing w:before="0" w:after="160"/>
              <w:jc w:val="center"/>
              <w:rPr/>
            </w:pPr>
            <w:r>
              <w:rPr/>
              <w:t>2.6422</w:t>
            </w:r>
          </w:p>
        </w:tc>
        <w:tc>
          <w:tcPr>
            <w:tcW w:w="1202" w:type="dxa"/>
            <w:tcBorders/>
            <w:vAlign w:val="center"/>
          </w:tcPr>
          <w:p>
            <w:pPr>
              <w:pStyle w:val="Normal"/>
              <w:widowControl w:val="false"/>
              <w:tabs>
                <w:tab w:val="clear" w:pos="720"/>
              </w:tabs>
              <w:spacing w:before="0" w:after="160"/>
              <w:jc w:val="center"/>
              <w:rPr/>
            </w:pPr>
            <w:r>
              <w:rPr/>
              <w:t>-7.25098</w:t>
            </w:r>
          </w:p>
        </w:tc>
        <w:tc>
          <w:tcPr>
            <w:tcW w:w="1062" w:type="dxa"/>
            <w:tcBorders/>
            <w:vAlign w:val="center"/>
          </w:tcPr>
          <w:p>
            <w:pPr>
              <w:pStyle w:val="Normal"/>
              <w:widowControl w:val="false"/>
              <w:tabs>
                <w:tab w:val="clear" w:pos="720"/>
              </w:tabs>
              <w:spacing w:before="0" w:after="160"/>
              <w:jc w:val="center"/>
              <w:rPr/>
            </w:pPr>
            <w:r>
              <w:rPr/>
              <w:t>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side</w:t>
            </w:r>
          </w:p>
        </w:tc>
        <w:tc>
          <w:tcPr>
            <w:tcW w:w="676" w:type="dxa"/>
            <w:tcBorders/>
            <w:vAlign w:val="center"/>
          </w:tcPr>
          <w:p>
            <w:pPr>
              <w:pStyle w:val="Normal"/>
              <w:widowControl w:val="false"/>
              <w:tabs>
                <w:tab w:val="clear" w:pos="720"/>
              </w:tabs>
              <w:spacing w:before="0" w:after="160"/>
              <w:jc w:val="center"/>
              <w:rPr/>
            </w:pPr>
            <w:r>
              <w:rPr/>
              <w:t>1</w:t>
            </w:r>
          </w:p>
        </w:tc>
        <w:tc>
          <w:tcPr>
            <w:tcW w:w="1141" w:type="dxa"/>
            <w:tcBorders/>
            <w:vAlign w:val="center"/>
          </w:tcPr>
          <w:p>
            <w:pPr>
              <w:pStyle w:val="Normal"/>
              <w:widowControl w:val="false"/>
              <w:tabs>
                <w:tab w:val="clear" w:pos="720"/>
              </w:tabs>
              <w:spacing w:before="0" w:after="160"/>
              <w:jc w:val="center"/>
              <w:rPr/>
            </w:pPr>
            <w:r>
              <w:rPr/>
              <w:t>0.3648</w:t>
            </w:r>
          </w:p>
        </w:tc>
        <w:tc>
          <w:tcPr>
            <w:tcW w:w="1185" w:type="dxa"/>
            <w:tcBorders/>
            <w:vAlign w:val="center"/>
          </w:tcPr>
          <w:p>
            <w:pPr>
              <w:pStyle w:val="Normal"/>
              <w:widowControl w:val="false"/>
              <w:tabs>
                <w:tab w:val="clear" w:pos="720"/>
              </w:tabs>
              <w:spacing w:before="0" w:after="160"/>
              <w:jc w:val="center"/>
              <w:rPr/>
            </w:pPr>
            <w:r>
              <w:rPr/>
              <w:t>0.3648</w:t>
            </w:r>
          </w:p>
        </w:tc>
        <w:tc>
          <w:tcPr>
            <w:tcW w:w="1139" w:type="dxa"/>
            <w:tcBorders/>
            <w:vAlign w:val="center"/>
          </w:tcPr>
          <w:p>
            <w:pPr>
              <w:pStyle w:val="Normal"/>
              <w:widowControl w:val="false"/>
              <w:tabs>
                <w:tab w:val="clear" w:pos="720"/>
              </w:tabs>
              <w:spacing w:before="0" w:after="160"/>
              <w:jc w:val="center"/>
              <w:rPr/>
            </w:pPr>
            <w:r>
              <w:rPr/>
              <w:t>0.61686</w:t>
            </w:r>
          </w:p>
        </w:tc>
        <w:tc>
          <w:tcPr>
            <w:tcW w:w="1411" w:type="dxa"/>
            <w:tcBorders/>
            <w:vAlign w:val="center"/>
          </w:tcPr>
          <w:p>
            <w:pPr>
              <w:pStyle w:val="Normal"/>
              <w:widowControl w:val="false"/>
              <w:tabs>
                <w:tab w:val="clear" w:pos="720"/>
              </w:tabs>
              <w:spacing w:before="0" w:after="160"/>
              <w:jc w:val="center"/>
              <w:rPr/>
            </w:pPr>
            <w:r>
              <w:rPr/>
              <w:t>314.97456</w:t>
            </w:r>
          </w:p>
        </w:tc>
        <w:tc>
          <w:tcPr>
            <w:tcW w:w="1202" w:type="dxa"/>
            <w:tcBorders/>
            <w:vAlign w:val="center"/>
          </w:tcPr>
          <w:p>
            <w:pPr>
              <w:pStyle w:val="Normal"/>
              <w:widowControl w:val="false"/>
              <w:tabs>
                <w:tab w:val="clear" w:pos="720"/>
              </w:tabs>
              <w:spacing w:before="0" w:after="160"/>
              <w:jc w:val="center"/>
              <w:rPr/>
            </w:pPr>
            <w:r>
              <w:rPr/>
              <w:t>3.36624</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0.05559</w:t>
            </w:r>
          </w:p>
        </w:tc>
        <w:tc>
          <w:tcPr>
            <w:tcW w:w="1185" w:type="dxa"/>
            <w:tcBorders/>
            <w:vAlign w:val="center"/>
          </w:tcPr>
          <w:p>
            <w:pPr>
              <w:pStyle w:val="Normal"/>
              <w:widowControl w:val="false"/>
              <w:tabs>
                <w:tab w:val="clear" w:pos="720"/>
              </w:tabs>
              <w:spacing w:before="0" w:after="160"/>
              <w:jc w:val="center"/>
              <w:rPr/>
            </w:pPr>
            <w:r>
              <w:rPr/>
              <w:t>0.00116</w:t>
            </w:r>
          </w:p>
        </w:tc>
        <w:tc>
          <w:tcPr>
            <w:tcW w:w="1139" w:type="dxa"/>
            <w:tcBorders/>
            <w:vAlign w:val="center"/>
          </w:tcPr>
          <w:p>
            <w:pPr>
              <w:pStyle w:val="Normal"/>
              <w:widowControl w:val="false"/>
              <w:tabs>
                <w:tab w:val="clear" w:pos="720"/>
              </w:tabs>
              <w:spacing w:before="0" w:after="160"/>
              <w:jc w:val="center"/>
              <w:rPr/>
            </w:pPr>
            <w:r>
              <w:rPr/>
              <w:t>0.09401</w:t>
            </w:r>
          </w:p>
        </w:tc>
        <w:tc>
          <w:tcPr>
            <w:tcW w:w="1411" w:type="dxa"/>
            <w:tcBorders/>
            <w:vAlign w:val="center"/>
          </w:tcPr>
          <w:p>
            <w:pPr>
              <w:pStyle w:val="Normal"/>
              <w:widowControl w:val="false"/>
              <w:tabs>
                <w:tab w:val="clear" w:pos="720"/>
              </w:tabs>
              <w:spacing w:before="0" w:after="160"/>
              <w:jc w:val="center"/>
              <w:rPr/>
            </w:pPr>
            <w:r>
              <w:rPr/>
              <w:t>4.70964</w:t>
            </w:r>
          </w:p>
        </w:tc>
        <w:tc>
          <w:tcPr>
            <w:tcW w:w="1202" w:type="dxa"/>
            <w:tcBorders/>
            <w:vAlign w:val="center"/>
          </w:tcPr>
          <w:p>
            <w:pPr>
              <w:pStyle w:val="Normal"/>
              <w:widowControl w:val="false"/>
              <w:tabs>
                <w:tab w:val="clear" w:pos="720"/>
              </w:tabs>
              <w:spacing w:before="0" w:after="160"/>
              <w:jc w:val="center"/>
              <w:rPr/>
            </w:pPr>
            <w:r>
              <w:rPr/>
              <w:t>14.47838</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ind:side:replicate</w:t>
            </w:r>
          </w:p>
        </w:tc>
        <w:tc>
          <w:tcPr>
            <w:tcW w:w="676" w:type="dxa"/>
            <w:tcBorders/>
            <w:vAlign w:val="center"/>
          </w:tcPr>
          <w:p>
            <w:pPr>
              <w:pStyle w:val="Normal"/>
              <w:widowControl w:val="false"/>
              <w:tabs>
                <w:tab w:val="clear" w:pos="720"/>
              </w:tabs>
              <w:spacing w:before="0" w:after="160"/>
              <w:jc w:val="center"/>
              <w:rPr/>
            </w:pPr>
            <w:r>
              <w:rPr/>
              <w:t>98</w:t>
            </w:r>
          </w:p>
        </w:tc>
        <w:tc>
          <w:tcPr>
            <w:tcW w:w="1141" w:type="dxa"/>
            <w:tcBorders/>
            <w:vAlign w:val="center"/>
          </w:tcPr>
          <w:p>
            <w:pPr>
              <w:pStyle w:val="Normal"/>
              <w:widowControl w:val="false"/>
              <w:tabs>
                <w:tab w:val="clear" w:pos="720"/>
              </w:tabs>
              <w:spacing w:before="0" w:after="160"/>
              <w:jc w:val="center"/>
              <w:rPr/>
            </w:pPr>
            <w:r>
              <w:rPr/>
              <w:t>0.0241</w:t>
            </w:r>
          </w:p>
        </w:tc>
        <w:tc>
          <w:tcPr>
            <w:tcW w:w="1185" w:type="dxa"/>
            <w:tcBorders/>
            <w:vAlign w:val="center"/>
          </w:tcPr>
          <w:p>
            <w:pPr>
              <w:pStyle w:val="Normal"/>
              <w:widowControl w:val="false"/>
              <w:tabs>
                <w:tab w:val="clear" w:pos="720"/>
              </w:tabs>
              <w:spacing w:before="0" w:after="160"/>
              <w:jc w:val="center"/>
              <w:rPr/>
            </w:pPr>
            <w:r>
              <w:rPr/>
              <w:t>0.00025</w:t>
            </w:r>
          </w:p>
        </w:tc>
        <w:tc>
          <w:tcPr>
            <w:tcW w:w="1139" w:type="dxa"/>
            <w:tcBorders/>
            <w:vAlign w:val="center"/>
          </w:tcPr>
          <w:p>
            <w:pPr>
              <w:pStyle w:val="Normal"/>
              <w:widowControl w:val="false"/>
              <w:tabs>
                <w:tab w:val="clear" w:pos="720"/>
              </w:tabs>
              <w:spacing w:before="0" w:after="160"/>
              <w:jc w:val="center"/>
              <w:rPr/>
            </w:pPr>
            <w:r>
              <w:rPr/>
              <w:t>0.04075</w:t>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r>
        <w:trPr>
          <w:trHeight w:val="256" w:hRule="atLeast"/>
        </w:trPr>
        <w:tc>
          <w:tcPr>
            <w:tcW w:w="1078" w:type="dxa"/>
            <w:tcBorders/>
            <w:vAlign w:val="center"/>
          </w:tcPr>
          <w:p>
            <w:pPr>
              <w:pStyle w:val="Normal"/>
              <w:widowControl w:val="false"/>
              <w:tabs>
                <w:tab w:val="clear" w:pos="720"/>
              </w:tabs>
              <w:spacing w:before="0" w:after="160"/>
              <w:jc w:val="center"/>
              <w:rPr/>
            </w:pPr>
            <w:r>
              <w:rPr/>
              <w:t>Total</w:t>
            </w:r>
          </w:p>
        </w:tc>
        <w:tc>
          <w:tcPr>
            <w:tcW w:w="676" w:type="dxa"/>
            <w:tcBorders/>
            <w:vAlign w:val="center"/>
          </w:tcPr>
          <w:p>
            <w:pPr>
              <w:pStyle w:val="Normal"/>
              <w:widowControl w:val="false"/>
              <w:tabs>
                <w:tab w:val="clear" w:pos="720"/>
              </w:tabs>
              <w:spacing w:before="0" w:after="160"/>
              <w:jc w:val="center"/>
              <w:rPr/>
            </w:pPr>
            <w:r>
              <w:rPr/>
              <w:t>195</w:t>
            </w:r>
          </w:p>
        </w:tc>
        <w:tc>
          <w:tcPr>
            <w:tcW w:w="1141" w:type="dxa"/>
            <w:tcBorders/>
            <w:vAlign w:val="center"/>
          </w:tcPr>
          <w:p>
            <w:pPr>
              <w:pStyle w:val="Normal"/>
              <w:widowControl w:val="false"/>
              <w:tabs>
                <w:tab w:val="clear" w:pos="720"/>
              </w:tabs>
              <w:spacing w:before="0" w:after="160"/>
              <w:jc w:val="center"/>
              <w:rPr/>
            </w:pPr>
            <w:r>
              <w:rPr/>
              <w:t>0.59138</w:t>
            </w:r>
          </w:p>
        </w:tc>
        <w:tc>
          <w:tcPr>
            <w:tcW w:w="1185" w:type="dxa"/>
            <w:tcBorders/>
            <w:vAlign w:val="center"/>
          </w:tcPr>
          <w:p>
            <w:pPr>
              <w:pStyle w:val="Normal"/>
              <w:widowControl w:val="false"/>
              <w:tabs>
                <w:tab w:val="clear" w:pos="720"/>
              </w:tabs>
              <w:spacing w:before="0" w:after="160"/>
              <w:jc w:val="center"/>
              <w:rPr/>
            </w:pPr>
            <w:r>
              <w:rPr/>
            </w:r>
          </w:p>
        </w:tc>
        <w:tc>
          <w:tcPr>
            <w:tcW w:w="1139" w:type="dxa"/>
            <w:tcBorders/>
            <w:vAlign w:val="center"/>
          </w:tcPr>
          <w:p>
            <w:pPr>
              <w:pStyle w:val="Normal"/>
              <w:widowControl w:val="false"/>
              <w:tabs>
                <w:tab w:val="clear" w:pos="720"/>
              </w:tabs>
              <w:spacing w:before="0" w:after="160"/>
              <w:jc w:val="center"/>
              <w:rPr/>
            </w:pPr>
            <w:r>
              <w:rPr/>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6"/>
        <w:gridCol w:w="903"/>
        <w:gridCol w:w="969"/>
        <w:gridCol w:w="1136"/>
        <w:gridCol w:w="1418"/>
        <w:gridCol w:w="737"/>
        <w:gridCol w:w="629"/>
        <w:gridCol w:w="1482"/>
      </w:tblGrid>
      <w:tr>
        <w:trPr>
          <w:trHeight w:val="256" w:hRule="atLeast"/>
        </w:trPr>
        <w:tc>
          <w:tcPr>
            <w:tcW w:w="1015" w:type="dxa"/>
            <w:tcBorders/>
            <w:vAlign w:val="bottom"/>
          </w:tcPr>
          <w:p>
            <w:pPr>
              <w:pStyle w:val="Normal"/>
              <w:widowControl w:val="false"/>
              <w:tabs>
                <w:tab w:val="clear" w:pos="720"/>
              </w:tabs>
              <w:spacing w:before="0" w:after="160"/>
              <w:jc w:val="left"/>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0.43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0.35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0.52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0.67</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0.72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w:t>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3. Comparison of effect sizes (Z</w:t>
      </w:r>
      <w:r>
        <w:rPr>
          <w:vertAlign w:val="subscript"/>
        </w:rPr>
        <w:t>PLS</w:t>
      </w:r>
      <w:r>
        <w:rPr/>
        <w:t>) from r-PLS integration analyses. Significant difference are highlighted in bold.</w:t>
      </w:r>
    </w:p>
    <w:tbl>
      <w:tblPr>
        <w:tblW w:w="8855" w:type="dxa"/>
        <w:jc w:val="left"/>
        <w:tblInd w:w="30" w:type="dxa"/>
        <w:tblLayout w:type="fixed"/>
        <w:tblCellMar>
          <w:top w:w="0" w:type="dxa"/>
          <w:left w:w="30" w:type="dxa"/>
          <w:bottom w:w="0" w:type="dxa"/>
          <w:right w:w="30" w:type="dxa"/>
        </w:tblCellMar>
      </w:tblPr>
      <w:tblGrid>
        <w:gridCol w:w="1074"/>
        <w:gridCol w:w="913"/>
        <w:gridCol w:w="901"/>
        <w:gridCol w:w="1201"/>
        <w:gridCol w:w="1412"/>
        <w:gridCol w:w="964"/>
        <w:gridCol w:w="1075"/>
        <w:gridCol w:w="1314"/>
      </w:tblGrid>
      <w:tr>
        <w:trPr>
          <w:trHeight w:val="256" w:hRule="atLeast"/>
        </w:trPr>
        <w:tc>
          <w:tcPr>
            <w:tcW w:w="1074" w:type="dxa"/>
            <w:tcBorders/>
            <w:vAlign w:val="bottom"/>
          </w:tcPr>
          <w:p>
            <w:pPr>
              <w:pStyle w:val="Normal"/>
              <w:widowControl w:val="false"/>
              <w:tabs>
                <w:tab w:val="clear" w:pos="720"/>
              </w:tabs>
              <w:spacing w:before="0" w:after="160"/>
              <w:jc w:val="left"/>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2.75624</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4.18681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3.11687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4.01071</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2.17762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5.15903</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075"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c>
          <w:tcPr>
            <w:tcW w:w="913"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c>
          <w:tcPr>
            <w:tcW w:w="901"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c>
          <w:tcPr>
            <w:tcW w:w="1412"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1.25629</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0.65754</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075"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1"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2"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 w:name="utkal">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Application>LibreOffice/7.3.7.2$Linux_X86_64 LibreOffice_project/30$Build-2</Application>
  <AppVersion>15.0000</AppVersion>
  <Pages>18</Pages>
  <Words>7268</Words>
  <Characters>41471</Characters>
  <CharactersWithSpaces>48355</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2023-09-29T16:27:50Z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2010)","noteIndex":0},"citationItems":[{"id":2287,"uris":["http://zotero.org/users/10309729/items/TWDK6G89"]</vt:lpwstr>
  </property>
  <property fmtid="{D5CDD505-2E9C-101B-9397-08002B2CF9AE}" pid="95" name="ZOTERO_BREF_70wft38ECdda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103"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"2023",3,17]]},"issued":{"date-parts":[["1994"]]}}},{"id":2257,"uris":["http://zotero.org/users/10309729/items/3ZGMBVDC"],"itemData":{"id":2257,"type":"article-journal","container-title":"Evolution","issue":"2","language":"en","page":"125-142","source":"Z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Peter"}],"issued":{"date-parts":[["2022",9,9]]}}},{"id":1503,"uris":["http://</vt:lpwstr>
  </property>
  <property fmtid="{D5CDD505-2E9C-101B-9397-08002B2CF9AE}" pid="116" name="ZOTERO_BREF_8JJFafQNgahK_1">
    <vt:lpwstr>ZOTERO_ITEM CSL_CITATION {"citationID":"kD0vQfPa","properties":{"formattedCitation":"(Cardini, 2019)","plainCitation":"(Cardini, 2019)","noteIndex":0},"citationItems":[{"id":3130,"uris":["http://zotero.org/users/10309729/items/FLP53KVE"],"itemData":{"id":</vt:lpwstr>
  </property>
  <property fmtid="{D5CDD505-2E9C-101B-9397-08002B2CF9AE}" pid="117"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18"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19"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20"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21" name="ZOTERO_BREF_8JJFafQNgahK_14">
    <vt:lpwstr>n"}</vt:lpwstr>
  </property>
  <property fmtid="{D5CDD505-2E9C-101B-9397-08002B2CF9AE}" pid="122" name="ZOTERO_BREF_8JJFafQNgahK_2">
    <vt:lpwstr>3130,"type":"article-journal","abstract":"Studies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23"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24"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25"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26"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27"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28"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29"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30"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31"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32"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33"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34"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35"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36"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37" name="ZOTERO_BREF_CqreNpKaVkew_8">
    <vt:lpwstr>tps://github.com/citation-style-language/schema/raw/master/csl-citation.json"}</vt:lpwstr>
  </property>
  <property fmtid="{D5CDD505-2E9C-101B-9397-08002B2CF9AE}" pid="138"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39"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4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4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4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4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44" name="ZOTERO_BREF_FLU8HEaFabQs_7">
    <vt:lpwstr>],"issued":{"date-parts":[["2004",10,29]]}}}],"schema":"https://github.com/citation-style-language/schema/raw/master/csl-citation.json"}</vt:lpwstr>
  </property>
  <property fmtid="{D5CDD505-2E9C-101B-9397-08002B2CF9AE}" pid="145"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4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4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4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4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50" name="ZOTERO_BREF_FUPy8jCD7weC_6">
    <vt:lpwstr>hema/raw/master/csl-citation.json"}</vt:lpwstr>
  </property>
  <property fmtid="{D5CDD505-2E9C-101B-9397-08002B2CF9AE}" pid="151"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52"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53"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54" name="ZOTERO_BREF_HQkxg2CqYOuc_4">
    <vt:lpwstr> J."}],"accessed":{"date-parts":[["2023",7,26]]},"issued":{"date-parts":[["2007"]]}}}],"schema":"https://github.com/citation-style-language/schema/raw/master/csl-citation.json"}</vt:lpwstr>
  </property>
  <property fmtid="{D5CDD505-2E9C-101B-9397-08002B2CF9AE}" pid="155" name="ZOTERO_BREF_HUyDELwvmtSo_1">
    <vt:lpwstr>ZOTERO_ITEM CSL_CITATION {"citationID":"41VnC5Wa","properties":{"formattedCitation":"(Hansen et al., 2006; P\\uc0\\u233{}labon &amp; Hansen, 2008)","plainCitation":"(Hansen et al., 2006; Pélabon &amp; Hansen, 2008)","noteIndex":0},"citationItems":[{"id":1508,"uri</vt:lpwstr>
  </property>
  <property fmtid="{D5CDD505-2E9C-101B-9397-08002B2CF9AE}" pid="156"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57" name="ZOTERO_BREF_HUyDELwvmtSo_11">
    <vt:lpwstr>,"given":"Christophe"},{"family":"Hansen","given":"Thomas F."}],"issued":{"date-parts":[["2008",11]]}}}],"schema":"https://github.com/citation-style-language/schema/raw/master/csl-citation.json"}</vt:lpwstr>
  </property>
  <property fmtid="{D5CDD505-2E9C-101B-9397-08002B2CF9AE}" pid="158" name="ZOTERO_BREF_HUyDELwvmtSo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59"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60"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61"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62"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3"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4"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65" name="ZOTERO_BREF_HUyDELwvmtSo_9">
    <vt:lpwstr>ey J. R."},{"family":"Pélabon","given":"Christophe"}],"issued":{"date-parts":[["2006",8]]}}},{"id":1509,"uris":["http://zotero.org/users/10309729/items/IDARMRVH"],"itemData":{"id":1509,"type":"article-journal","container-title":"Evolution","DOI":"10.1111/</vt:lpwstr>
  </property>
  <property fmtid="{D5CDD505-2E9C-101B-9397-08002B2CF9AE}" pid="166"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67"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68" name="ZOTERO_BREF_KOa81RsfbjBj_11">
    <vt:lpwstr>,"given":"Christophe"},{"family":"Hansen","given":"Thomas F."}],"issued":{"date-parts":[["2008",11]]}}}],"schema":"https://github.com/citation-style-language/schema/raw/master/csl-citation.json"}</vt:lpwstr>
  </property>
  <property fmtid="{D5CDD505-2E9C-101B-9397-08002B2CF9AE}" pid="169"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70"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71"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72"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73"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74"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75"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76" name="ZOTERO_BREF_KOa81RsfbjBj_9">
    <vt:lpwstr>ey J. R."},{"family":"Pélabon","given":"Christophe"}],"issued":{"date-parts":[["2006",8]]}}},{"id":1509,"uris":["http://zotero.org/users/10309729/items/IDARMRVH"],"itemData":{"id":1509,"type":"article-journal","container-title":"Evolution","DOI":"10.1111/</vt:lpwstr>
  </property>
  <property fmtid="{D5CDD505-2E9C-101B-9397-08002B2CF9AE}" pid="177"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78"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79" name="ZOTERO_BREF_L5BuYt52vOGv_3">
    <vt:lpwstr>g process","volume":"45","author":[{"family":"Meinhardt","given":"Hans"}],"issued":{"date-parts":[["2001"]]}}},{"id":2279,"uris":["http://zotero.org/users/10309729/items/MB47Q5JT"],"itemData":{"id":2279,"type":"article-journal","abstract":"Because of its </vt:lpwstr>
  </property>
  <property fmtid="{D5CDD505-2E9C-101B-9397-08002B2CF9AE}" pid="18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8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8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8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8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85" name="ZOTERO_BREF_L5BuYt52vOGv_9">
    <vt:lpwstr>"https://github.com/citation-style-language/schema/raw/master/csl-citation.json"}</vt:lpwstr>
  </property>
  <property fmtid="{D5CDD505-2E9C-101B-9397-08002B2CF9AE}" pid="186"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87"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8"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9"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90"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91"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92" name="ZOTERO_BREF_LFEM8B0DQM40_7">
    <vt:lpwstr>],"issued":{"date-parts":[["2004",10,29]]}}}],"schema":"https://github.com/citation-style-language/schema/raw/master/csl-citation.json"}</vt:lpwstr>
  </property>
  <property fmtid="{D5CDD505-2E9C-101B-9397-08002B2CF9AE}" pid="193"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94" name="ZOTERO_BREF_MVD4WOE2Rp1e_10">
    <vt:lpwstr>w/master/csl-citation.json"}</vt:lpwstr>
  </property>
  <property fmtid="{D5CDD505-2E9C-101B-9397-08002B2CF9AE}" pid="195"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96"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97"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98"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99"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00"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01"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02"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03" name="ZOTERO_BREF_MejhUQdHTYqw_1">
    <vt:lpwstr>ZOTERO_TEMP</vt:lpwstr>
  </property>
  <property fmtid="{D5CDD505-2E9C-101B-9397-08002B2CF9AE}" pid="204" name="ZOTERO_BREF_OpQL5eAzXmdr_1">
    <vt:lpwstr>ZOTERO_ITEM CSL_CITATION {"citationID":"30j9i211","properties":{"formattedCitation":"(Hansen et al., 2006)","plainCitation":"(Hansen et al., 2006)","noteIndex":0},"citationItems":[{"id":1508,"uris":["http://zotero.org/users/10309729/items/3PVNLN3U"],"item</vt:lpwstr>
  </property>
  <property fmtid="{D5CDD505-2E9C-101B-9397-08002B2CF9AE}" pid="205" name="ZOTERO_BREF_OpQL5eAzXmd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06"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07"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08"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09"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10"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11"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12" name="ZOTERO_BREF_OpQL5eAzXmdr_9">
    <vt:lpwstr>d":{"date-parts":[["2006",8]]}}}],"schema":"https://github.com/citation-style-language/schema/raw/master/csl-citation.json"}</vt:lpwstr>
  </property>
  <property fmtid="{D5CDD505-2E9C-101B-9397-08002B2CF9AE}" pid="213"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214"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15"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16" name="ZOTERO_BREF_PJ1CbOcjQXTW_12">
    <vt:lpwstr>given":"Dean C."}],"issued":{"date-parts":[["2016"]]}}},{"id":2158,"uris":["http://zotero.org/users/10309729/items/KIXVGHIE"],"itemData":{"id":2158,"type":"article-journal","container-title":"Evolution","DOI":"10.1111/evo.13045","ISSN":"0014-3820, 1558-56</vt:lpwstr>
  </property>
  <property fmtid="{D5CDD505-2E9C-101B-9397-08002B2CF9AE}" pid="217"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218" name="ZOTERO_BREF_PJ1CbOcjQXTW_14">
    <vt:lpwstr>ams","given":"Dean C."},{"family":"Collyer","given":"Michael L."}],"issued":{"date-parts":[["2016",11]]}}}],"schema":"https://github.com/citation-style-language/schema/raw/master/csl-citation.json"}</vt:lpwstr>
  </property>
  <property fmtid="{D5CDD505-2E9C-101B-9397-08002B2CF9AE}" pid="219"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220"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221"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222"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23"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24"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25"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26"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27"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22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2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3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31"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23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33"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23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3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36" name="ZOTERO_BREF_QF27IoqYzK7q_18">
    <vt:lpwstr>/github.com/citation-style-language/schema/raw/master/csl-citation.json"}</vt:lpwstr>
  </property>
  <property fmtid="{D5CDD505-2E9C-101B-9397-08002B2CF9AE}" pid="237"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238"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39"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40"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41"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42"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43"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44"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45"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46" name="ZOTERO_BREF_QiclVk86sxhb_10">
    <vt:lpwstr>iven":"Nigel A."},{"family":"Wolpert","given":"Lewis"}],"issued":{"date-parts":[["1990",5,1]]}}}],"schema":"https://github.com/citation-style-language/schema/raw/master/csl-citation.json"}</vt:lpwstr>
  </property>
  <property fmtid="{D5CDD505-2E9C-101B-9397-08002B2CF9AE}" pid="247"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4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4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5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5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5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5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5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55" name="ZOTERO_BREF_Rbqd5BIoMrs4_1">
    <vt:lpwstr>ZOTERO_TEMP</vt:lpwstr>
  </property>
  <property fmtid="{D5CDD505-2E9C-101B-9397-08002B2CF9AE}" pid="256"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257" name="ZOTERO_BREF_WItYN1DA7AXz_10">
    <vt:lpwstr>w/master/csl-citation.json"}</vt:lpwstr>
  </property>
  <property fmtid="{D5CDD505-2E9C-101B-9397-08002B2CF9AE}" pid="258"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59"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60"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61"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62"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63"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64"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265"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266"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67"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68"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69" name="ZOTERO_BREF_WqoaLINSFuqY_12">
    <vt:lpwstr>ema":"https://github.com/citation-style-language/schema/raw/master/csl-citation.json"}</vt:lpwstr>
  </property>
  <property fmtid="{D5CDD505-2E9C-101B-9397-08002B2CF9AE}" pid="270"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71"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72"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73"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74"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75"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76"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77"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78" name="ZOTERO_BREF_Yrf5xcv0GEvm_1">
    <vt:lpwstr>ZOTERO_ITEM CSL_CITATION {"citationID":"6IghrhCf","properties":{"formattedCitation":"(Cardini, 2019, 2023; Zelditch &amp; Swiderski, 2023)","plainCitation":"(Cardini, 2019, 2023; Zelditch &amp; Swiderski, 2023)","noteIndex":0},"citationItems":[{"id":3130,"uris":[</vt:lpwstr>
  </property>
  <property fmtid="{D5CDD505-2E9C-101B-9397-08002B2CF9AE}" pid="27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8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8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282" name="ZOTERO_BREF_Yrf5xcv0GEvm_13">
    <vt:lpwstr> in Procrustes Shape Data: Is There a Risk of Spurious Results?","title-short":"Integration and Modularity in Procrustes Shape Data","volume":"46","author":[{"family":"Cardini","given":"Andrea"}],"issued":{"date-parts":[["2019",3]]}}},{"id":3246,"uris":["</vt:lpwstr>
  </property>
  <property fmtid="{D5CDD505-2E9C-101B-9397-08002B2CF9AE}" pid="283" name="ZOTERO_BREF_Yrf5xcv0GEvm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84" name="ZOTERO_BREF_Yrf5xcv0GEvm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285" name="ZOTERO_BREF_Yrf5xcv0GEvm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28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28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28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289" name="ZOTERO_BREF_Yrf5xcv0GEvm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29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29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29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29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29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29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296" name="ZOTERO_BREF_Yrf5xcv0GEvm_26">
    <vt:lpwstr>d":{"date-parts":[["2023",6]]}}}],"schema":"https://github.com/citation-style-language/schema/raw/master/csl-citation.json"}</vt:lpwstr>
  </property>
  <property fmtid="{D5CDD505-2E9C-101B-9397-08002B2CF9AE}" pid="29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29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29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0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30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30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30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304"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30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306" name="ZOTERO_BREF_btRxkT37Pt17_11">
    <vt:lpwstr>Goswami","given":"Anjali"},{"family":"Finarelli","given":"John A."}],"issued":{"date-parts":[["2016"]]}}}],"schema":"https://github.com/citation-style-language/schema/raw/master/csl-citation.json"}</vt:lpwstr>
  </property>
  <property fmtid="{D5CDD505-2E9C-101B-9397-08002B2CF9AE}" pid="307"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30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30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31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31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31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31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31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315"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316"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1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18" name="ZOTERO_BREF_cM7pra86IZ9z_4">
    <vt:lpwstr>link.springer.com/10.1007/978-94-011-0830-0_26","volume":"2","editor":[{"family":"Markow","given":"Therese Ann"}],"author":[{"family":"Palmer","given":"A. Richard"}],"accessed":{"date-parts":[["2023",3,17]]},"issued":{"date-parts":[["1994"]]}}}],"schema":</vt:lpwstr>
  </property>
  <property fmtid="{D5CDD505-2E9C-101B-9397-08002B2CF9AE}" pid="319" name="ZOTERO_BREF_cM7pra86IZ9z_5">
    <vt:lpwstr>"https://github.com/citation-style-language/schema/raw/master/csl-citation.json"}</vt:lpwstr>
  </property>
  <property fmtid="{D5CDD505-2E9C-101B-9397-08002B2CF9AE}" pid="320"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3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3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3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324" name="ZOTERO_BREF_cVKPErJwiNyj_13">
    <vt:lpwstr>ivier"},{"family":"Watson","given":"Sara-Jane"},{"family":"Farina","given":"Stacy"},{"family":"Habegger","given":"María Laura"},{"family":"Friedman","given":"Matt"}],"issued":{"date-parts":[["2021",5,4]]}}}],"schema":"https://github.com/citation-style-lan</vt:lpwstr>
  </property>
  <property fmtid="{D5CDD505-2E9C-101B-9397-08002B2CF9AE}" pid="325" name="ZOTERO_BREF_cVKPErJwiNyj_14">
    <vt:lpwstr>guage/schema/raw/master/csl-citation.json"}</vt:lpwstr>
  </property>
  <property fmtid="{D5CDD505-2E9C-101B-9397-08002B2CF9AE}" pid="326"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3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3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3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3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3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3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3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334"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3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3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3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3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3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3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341" name="ZOTERO_BREF_ckfAwWmQrnuw_16">
    <vt:lpwstr>ssued":{"date-parts":[["1996",12,10]]}}},{"id":2257,"uris":["http://zotero.org/users/10309729/items/3ZGMBVDC"],"itemData":{"id":2257,"type":"article-journal","container-title":"Evolution","issue":"2","language":"en","page":"125-142","source":"Zotero","tit</vt:lpwstr>
  </property>
  <property fmtid="{D5CDD505-2E9C-101B-9397-08002B2CF9AE}" pid="342" name="ZOTERO_BREF_ckfAwWmQrnuw_17">
    <vt:lpwstr>le":"A Study of Fluctuating Asymmetry","volume":"16","author":[{"family":"Van Valen","given":"Leigh"}],"issued":{"date-parts":[["1962"]]}}}],"schema":"https://github.com/citation-style-language/schema/raw/master/csl-citation.json"}</vt:lpwstr>
  </property>
  <property fmtid="{D5CDD505-2E9C-101B-9397-08002B2CF9AE}" pid="343"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3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3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3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3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348"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3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3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351"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352"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3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354" name="ZOTERO_BREF_ctq9xdr3MIsT_4">
    <vt:lpwstr>Boxshall","given":"Geoffrey"},{"family":"Fusco","given":"Giuseppe"}],"accessed":{"date-parts":[["2023",7,25]]},"issued":{"date-parts":[["2013"]]}}}],"schema":"https://github.com/citation-style-language/schema/raw/master/csl-citation.json"}</vt:lpwstr>
  </property>
  <property fmtid="{D5CDD505-2E9C-101B-9397-08002B2CF9AE}" pid="355"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356"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357" name="ZOTERO_BREF_dguldPDeadxx_3">
    <vt:lpwstr>on.json"}</vt:lpwstr>
  </property>
  <property fmtid="{D5CDD505-2E9C-101B-9397-08002B2CF9AE}" pid="358"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3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63" name="ZOTERO_BREF_e1PSRHgXsTGo_14">
    <vt:lpwstr>r":[{"family":"Zelditch","given":"Miriam L."},{"family":"Goswami","given":"Anjali"}],"issued":{"date-parts":[["2021"]]}}}],"schema":"https://github.com/citation-style-language/schema/raw/master/csl-citation.json"}</vt:lpwstr>
  </property>
  <property fmtid="{D5CDD505-2E9C-101B-9397-08002B2CF9AE}" pid="364"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3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68" name="ZOTERO_BREF_e1PSRHgXsTGo_6">
    <vt:lpwstr>family":"Pavlicev","given":"Mihaela"},{"family":"Cheverud","given":"James M."}],"issued":{"date-parts":[["2007",12]]}}},{"id":2275,"uris":["http://zotero.org/users/10309729/items/PCVRXGIU"],"itemData":{"id":2275,"type":"article-journal","abstract":"Modula</vt:lpwstr>
  </property>
  <property fmtid="{D5CDD505-2E9C-101B-9397-08002B2CF9AE}" pid="3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72"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373"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3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75" name="ZOTERO_BREF_f86YAPWxOAd9_4">
    <vt:lpwstr>ued":{"date-parts":[["2019",12]]}}}],"schema":"https://github.com/citation-style-language/schema/raw/master/csl-citation.json"}</vt:lpwstr>
  </property>
  <property fmtid="{D5CDD505-2E9C-101B-9397-08002B2CF9AE}" pid="376" name="ZOTERO_BREF_hAtWOIK1s3WR_1">
    <vt:lpwstr>ZOTERO_ITEM CSL_CITATION {"citationID":"X1FASEXp","properties":{"formattedCitation":"(Meinhardt, 2001; Palmer, 2004)","plainCitation":"(Meinhardt, 2001; Palmer, 2004)","noteIndex":0},"citationItems":[{"id":2264,"uris":["http://zotero.org/users/10309729/it</vt:lpwstr>
  </property>
  <property fmtid="{D5CDD505-2E9C-101B-9397-08002B2CF9AE}" pid="377" name="ZOTERO_BREF_hAtWOIK1s3WR_2">
    <vt:lpwstr>ems/TIYGZHGW"],"itemData":{"id":2264,"type":"article-journal","container-title":"International Journal of Developmental Biology","language":"en","page":"177-188","source":"Zotero","title":"Organizer and axes formation as a self-organizing process","volume</vt:lpwstr>
  </property>
  <property fmtid="{D5CDD505-2E9C-101B-9397-08002B2CF9AE}" pid="378" name="ZOTERO_BREF_hAtWOIK1s3WR_3">
    <vt:lpwstr>":"45","author":[{"family":"Meinhardt","given":"Hans"}],"issued":{"date-parts":[["2001"]]}}},{"id":2279,"uris":["http://zotero.org/users/10309729/items/MB47Q5JT"],"itemData":{"id":2279,"type":"article-journal","abstract":"Because of its simplicity, the bi</vt:lpwstr>
  </property>
  <property fmtid="{D5CDD505-2E9C-101B-9397-08002B2CF9AE}" pid="379" name="ZOTERO_BREF_hAtWOIK1s3WR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380" name="ZOTERO_BREF_hAtWOIK1s3WR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381" name="ZOTERO_BREF_hAtWOIK1s3WR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382" name="ZOTERO_BREF_hAtWOIK1s3WR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383" name="ZOTERO_BREF_hAtWOIK1s3WR_8">
    <vt:lpwstr>ge":"en","page":"828-833","source":"DOI.org (Crossref)","title":"Symmetry Breaking and the Evolution of Development","volume":"306","author":[{"family":"Palmer","given":"A. Richard"}],"issued":{"date-parts":[["2004",10,29]]}}}],"schema":"https://github.co</vt:lpwstr>
  </property>
  <property fmtid="{D5CDD505-2E9C-101B-9397-08002B2CF9AE}" pid="384" name="ZOTERO_BREF_hAtWOIK1s3WR_9">
    <vt:lpwstr>m/citation-style-language/schema/raw/master/csl-citation.json"}</vt:lpwstr>
  </property>
  <property fmtid="{D5CDD505-2E9C-101B-9397-08002B2CF9AE}" pid="38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8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87"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88"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8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90"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9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92" name="ZOTERO_BREF_i2BWnl24xap6_16">
    <vt:lpwstr>,{"family":"Mclain","given":"D. K."}],"issued":{"date-parts":[["2002",2]]}}}],"schema":"https://github.com/citation-style-language/schema/raw/master/csl-citation.json"}</vt:lpwstr>
  </property>
  <property fmtid="{D5CDD505-2E9C-101B-9397-08002B2CF9AE}" pid="393"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94" name="ZOTERO_BREF_i2BWnl24xap6_3">
    <vt:lpwstr>"title":"Asymmetry in Lobster Claws","volume":"77","author":[{"family":"Govind","given":"C K"}],"issued":{"date-parts":[["1989"]]}}},{"id":566,"uris":["http://zotero.org/users/10309729/items/BMANL4AN"],"itemData":{"id":566,"type":"article-journal","abstra</vt:lpwstr>
  </property>
  <property fmtid="{D5CDD505-2E9C-101B-9397-08002B2CF9AE}" pid="39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9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9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9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9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40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401" name="ZOTERO_BREF_iQAmma8wn06h_1">
    <vt:lpwstr>ZOTERO_ITEM CSL_CITATION {"citationID":"bm1ZGzrW","properties":{"formattedCitation":"(Adams &amp; Collyer, 2019)","plainCitation":"(Adams &amp; Collyer, 2019)","noteIndex":0},"citationItems":[{"id":2159,"uris":["http://zotero.org/users/10309729/items/6VHE7DDS"],"</vt:lpwstr>
  </property>
  <property fmtid="{D5CDD505-2E9C-101B-9397-08002B2CF9AE}" pid="402" name="ZOTERO_BREF_iQAmma8wn06h_2">
    <vt:lpwstr>itemData":{"id":2159,"type":"article-journal","container-title":"Evolution","DOI":"10.1111/evo.13867","ISSN":"0014-3820, 1558-5646","issue":"12","journalAbbreviation":"Evolution","language":"en","page":"2352-2367","source":"DOI.org (Crossref)","title":"Co</vt:lpwstr>
  </property>
  <property fmtid="{D5CDD505-2E9C-101B-9397-08002B2CF9AE}" pid="40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04" name="ZOTERO_BREF_iQAmma8wn06h_4">
    <vt:lpwstr>ued":{"date-parts":[["2019",12]]}}}],"schema":"https://github.com/citation-style-language/schema/raw/master/csl-citation.json"}</vt:lpwstr>
  </property>
  <property fmtid="{D5CDD505-2E9C-101B-9397-08002B2CF9AE}" pid="405"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406"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40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40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40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41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41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41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413" name="ZOTERO_BREF_iRw2R6aZcixc_9">
    <vt:lpwstr>roecker","given":"Philipp"}],"issued":{"date-parts":[["2020",2,14]]}}}],"schema":"https://github.com/citation-style-language/schema/raw/master/csl-citation.json"}</vt:lpwstr>
  </property>
  <property fmtid="{D5CDD505-2E9C-101B-9397-08002B2CF9AE}" pid="414"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415"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41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417" name="ZOTERO_BREF_ixlpTyOzhkX3_4">
    <vt:lpwstr>a/raw/master/csl-citation.json"}</vt:lpwstr>
  </property>
  <property fmtid="{D5CDD505-2E9C-101B-9397-08002B2CF9AE}" pid="418"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419"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420"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421" name="ZOTERO_BREF_km5RD4Bd9jxA_4">
    <vt:lpwstr>","given":"Erik"}],"editor":[{"family":"Paradis","given":"Emmanuel"}],"issued":{"date-parts":[["2013",4]]}}}],"schema":"https://github.com/citation-style-language/schema/raw/master/csl-citation.json"}</vt:lpwstr>
  </property>
  <property fmtid="{D5CDD505-2E9C-101B-9397-08002B2CF9AE}" pid="422"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423"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424"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425" name="ZOTERO_BREF_mnYpzGEYxWZC_4">
    <vt:lpwstr>link.springer.com/10.1007/978-94-011-0830-0_26","volume":"2","editor":[{"family":"Markow","given":"Therese Ann"}],"author":[{"family":"Palmer","given":"A. Richard"}],"accessed":{"date-parts":[["2023",3,17]]},"issued":{"date-parts":[["1994"]]}}}],"schema":</vt:lpwstr>
  </property>
  <property fmtid="{D5CDD505-2E9C-101B-9397-08002B2CF9AE}" pid="426" name="ZOTERO_BREF_mnYpzGEYxWZC_5">
    <vt:lpwstr>"https://github.com/citation-style-language/schema/raw/master/csl-citation.json"}</vt:lpwstr>
  </property>
  <property fmtid="{D5CDD505-2E9C-101B-9397-08002B2CF9AE}" pid="427" name="ZOTERO_BREF_nkdXgxglYYGf_1">
    <vt:lpwstr>ZOTERO_TEMP</vt:lpwstr>
  </property>
  <property fmtid="{D5CDD505-2E9C-101B-9397-08002B2CF9AE}" pid="428"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429"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430"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431"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432"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433"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434"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435" name="ZOTERO_BREF_pDanY3tkotH3_8">
    <vt:lpwstr>/citation-style-language/schema/raw/master/csl-citation.json"}</vt:lpwstr>
  </property>
  <property fmtid="{D5CDD505-2E9C-101B-9397-08002B2CF9AE}" pid="436"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437"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438"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439"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440"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441"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442"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443"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444"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445" name="ZOTERO_BREF_rMLyQcf3OzBn_18">
    <vt:lpwstr>-language/schema/raw/master/csl-citation.json"}</vt:lpwstr>
  </property>
  <property fmtid="{D5CDD505-2E9C-101B-9397-08002B2CF9AE}" pid="446"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447"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448"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449"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450"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451"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452"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453" name="ZOTERO_BREF_rMLyQcf3OzBn_9">
    <vt:lpwstr>The road to modularity","volume":"8","author":[{"family":"Wagner","given":"Günter P."},{"family":"Pavlicev","given":"Mihaela"},{"family":"Cheverud","given":"James M."}],"issued":{"date-parts":[["2007",12]]}}},{"id":2275,"uris":["http://zotero.org/users/10</vt:lpwstr>
  </property>
  <property fmtid="{D5CDD505-2E9C-101B-9397-08002B2CF9AE}" pid="454"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455"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456"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457"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458"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459"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460"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461"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462" name="ZOTERO_BREF_s33LGItP7vAP_17">
    <vt:lpwstr>"Graham","given":"John H"},{"family":"Freeman","given":"D Carl"},{"family":"Emlen","given":"John M"}],"issued":{"date-parts":[["1993"]]}}},{"id":2289,"uris":["http://zotero.org/users/10309729/items/GBUT4G3A"],"itemData":{"id":2289,"type":"article-journal"</vt:lpwstr>
  </property>
  <property fmtid="{D5CDD505-2E9C-101B-9397-08002B2CF9AE}" pid="463"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464"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465"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466"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467"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468"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469"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470"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471" name="ZOTERO_BREF_s33LGItP7vAP_25">
    <vt:lpwstr>what's new?","volume":"6","author":[{"family":"Klingenberg","given":"Christian Peter"}],"issued":{"date-parts":[["2022",9,9]]}}},{"id":2258,"uris":["http://zotero.org/users/10309729/items/MXYCSMFK"],"itemData":{"id":2258,"type":"article-journal","containe</vt:lpwstr>
  </property>
  <property fmtid="{D5CDD505-2E9C-101B-9397-08002B2CF9AE}" pid="472"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473"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474"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475"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476"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77" name="ZOTERO_BREF_s33LGItP7vAP_30">
    <vt:lpwstr>007/978-94-011-0830-0_26","volume":"2","editor":[{"family":"Markow","given":"Therese Ann"}],"author":[{"family":"Palmer","given":"A. Richard"}],"accessed":{"date-parts":[["2023",3,17]]},"issued":{"date-parts":[["1994"]]}}},{"id":2261,"uris":["http://zoter</vt:lpwstr>
  </property>
  <property fmtid="{D5CDD505-2E9C-101B-9397-08002B2CF9AE}" pid="478"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479"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480" name="ZOTERO_BREF_s33LGItP7vAP_33">
    <vt:lpwstr>gmented animals","volume":"226","author":[{"family":"Savriama","given":"Yoland"},{"family":"Vitulo","given":"Marco"},{"family":"Gerber","given":"Sylvain"},{"family":"Debat","given":"Vincent"},{"family":"Fusco","given":"Giuseppe"}],"issued":{"date-parts":[</vt:lpwstr>
  </property>
  <property fmtid="{D5CDD505-2E9C-101B-9397-08002B2CF9AE}" pid="481"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482" name="ZOTERO_BREF_s33LGItP7vAP_35">
    <vt:lpwstr>g Asymmetry","volume":"16","author":[{"family":"Van Valen","given":"Leigh"}],"issued":{"date-parts":[["1962"]]}}}],"schema":"https://github.com/citation-style-language/schema/raw/master/csl-citation.json"}</vt:lpwstr>
  </property>
  <property fmtid="{D5CDD505-2E9C-101B-9397-08002B2CF9AE}" pid="48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8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8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8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8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88" name="ZOTERO_BREF_s33LGItP7vAP_9">
    <vt:lpwstr>,"given":"Rodrigo"},{"family":"Pajač Živković","given":"Ivana"},{"family":"Mikac","given":"Katarina"}],"issued":{"date-parts":[["2020",10,29]]}}},{"id":1504,"uris":["http://zotero.org/users/10309729/items/Y9E84TK7"],"itemData":{"id":1504,"type":"article-j</vt:lpwstr>
  </property>
  <property fmtid="{D5CDD505-2E9C-101B-9397-08002B2CF9AE}" pid="489"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490"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91"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92"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93"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94"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95"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96"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97" name="ZOTERO_BREF_si6swIcGOcBr_9">
    <vt:lpwstr>d":{"date-parts":[["2006",8]]}}}],"schema":"https://github.com/citation-style-language/schema/raw/master/csl-citation.json"}</vt:lpwstr>
  </property>
  <property fmtid="{D5CDD505-2E9C-101B-9397-08002B2CF9AE}" pid="498"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99"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500"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501" name="ZOTERO_BREF_tgfJ0V2ynGKZ_4">
    <vt:lpwstr>}}}],"schema":"https://github.com/citation-style-language/schema/raw/master/csl-citation.json"}</vt:lpwstr>
  </property>
  <property fmtid="{D5CDD505-2E9C-101B-9397-08002B2CF9AE}" pid="502" name="ZOTERO_BREF_vF2GNk5973Xc_1">
    <vt:lpwstr>ZOTERO_ITEM CSL_CITATION {"citationID":"c7uGLz1a","properties":{"formattedCitation":"(Posnien &amp; Bucher, 2010)","plainCitation":"(Posnien &amp; Bucher, 2010)","noteIndex":0},"citationItems":[{"id":2287,"uris":["http://zotero.org/users/10309729/items/TWDK6G89"]</vt:lpwstr>
  </property>
  <property fmtid="{D5CDD505-2E9C-101B-9397-08002B2CF9AE}" pid="503" name="ZOTERO_BREF_vF2GNk5973Xc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504" name="ZOTERO_BREF_vF2GNk5973Xc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505" name="ZOTERO_BREF_vF2GNk5973Xc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506" name="ZOTERO_BREF_vF2GNk5973Xc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507" name="ZOTERO_BREF_vF2GNk5973Xc_6">
    <vt:lpwstr>mation.","container-title":"Developmental Biology","DOI":"10.1016/j.ydbio.2009.11.010","ISSN":"00121606","issue":"1","journalAbbreviation":"Developmental Biology","language":"en","page":"107-116","source":"DOI.org (Crossref)","title":"Formation of the ins</vt:lpwstr>
  </property>
  <property fmtid="{D5CDD505-2E9C-101B-9397-08002B2CF9AE}" pid="508" name="ZOTERO_BREF_vF2GNk5973Xc_7">
    <vt:lpwstr>ect head involves lateral contribution of the intercalary segment, which depends on Tc-labial function","volume":"338","author":[{"family":"Posnien","given":"Nico"},{"family":"Bucher","given":"Gregor"}],"issued":{"date-parts":[["2010",2]]}}}],"schema":"ht</vt:lpwstr>
  </property>
  <property fmtid="{D5CDD505-2E9C-101B-9397-08002B2CF9AE}" pid="509" name="ZOTERO_BREF_vF2GNk5973Xc_8">
    <vt:lpwstr>tps://github.com/citation-style-language/schema/raw/master/csl-citation.json"}</vt:lpwstr>
  </property>
  <property fmtid="{D5CDD505-2E9C-101B-9397-08002B2CF9AE}" pid="510" name="ZOTERO_BREF_vtiJwxJ8d6g1_1">
    <vt:lpwstr>ZOTERO_ITEM CSL_CITATION {"citationID":"U6jUgH5E","properties":{"formattedCitation":"(Weihmann &amp; Wipfler, 2019)","plainCitation":"(Weihmann &amp; Wipfler, 2019)","noteIndex":0},"citationItems":[{"id":3075,"uris":["http://zotero.org/users/10309729/items/4PT7BP</vt:lpwstr>
  </property>
  <property fmtid="{D5CDD505-2E9C-101B-9397-08002B2CF9AE}" pid="511" name="ZOTERO_BREF_vtiJwxJ8d6g1_10">
    <vt:lpwstr> A Model for Biting and Chewing Insects","author":[{"family":"Weihmann","given":"Tom"},{"family":"Wipfler","given":"Benjamin"}],"issued":{"date-parts":[["2019"]]}}}],"schema":"https://github.com/citation-style-language/schema/raw/master/csl-citation.json"</vt:lpwstr>
  </property>
  <property fmtid="{D5CDD505-2E9C-101B-9397-08002B2CF9AE}" pid="512" name="ZOTERO_BREF_vtiJwxJ8d6g1_11">
    <vt:lpwstr>}</vt:lpwstr>
  </property>
  <property fmtid="{D5CDD505-2E9C-101B-9397-08002B2CF9AE}" pid="513" name="ZOTERO_BREF_vtiJwxJ8d6g1_2">
    <vt:lpwstr>R9"],"itemData":{"id":3075,"type":"chapter","abstract":"The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514"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515"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516"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517"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518"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519"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520"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521" name="ZOTERO_BREF_wTA5FiqQehpV_1">
    <vt:lpwstr>ZOTERO_TEMP</vt:lpwstr>
  </property>
  <property fmtid="{D5CDD505-2E9C-101B-9397-08002B2CF9AE}" pid="522"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523"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524"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525"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526"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527"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528"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529"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530"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531"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532"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533"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534"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535"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536" name="ZOTERO_BREF_xtAXZHqSamQK_22">
    <vt:lpwstr>:"https://doi.org/10.1101/2022.06.24.497462","author":[{"family":"Lanzetti","given":"Agnese"}],"issued":{"date-parts":[["2022"]]}}},{"id":2298,"uris":["http://zotero.org/users/10309729/items/Q573JZQ3"],"itemData":{"id":2298,"type":"article-journal","abstr</vt:lpwstr>
  </property>
  <property fmtid="{D5CDD505-2E9C-101B-9397-08002B2CF9AE}" pid="537"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538"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539"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540"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541"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542"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543"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544"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545"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546"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547"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548" name="ZOTERO_BREF_xtAXZHqSamQK_33">
    <vt:lpwstr>en":"J.s."},{"family":"Weller","given":"M."},{"family":"Santos","given":"M.b."},{"family":"Herman","given":"J."},{"family":"Goold","given":"J."},{"family":"Pierce","given":"G.j."}],"issued":{"date-parts":[["2007"]]}}}],"schema":"https://github.com/citatio</vt:lpwstr>
  </property>
  <property fmtid="{D5CDD505-2E9C-101B-9397-08002B2CF9AE}" pid="549" name="ZOTERO_BREF_xtAXZHqSamQK_34">
    <vt:lpwstr>n-style-language/schema/raw/master/csl-citation.json"}</vt:lpwstr>
  </property>
  <property fmtid="{D5CDD505-2E9C-101B-9397-08002B2CF9AE}" pid="550" name="ZOTERO_BREF_xtAXZHqSamQK_4">
    <vt:lpwstr>Delphinus delphis&lt;/i&gt; )","volume":"126","author":[{"family":"Churchill","given":"Morgan"},{"family":"Miguel","given":"Jacob"},{"family":"Beatty","given":"Brian L"},{"family":"Goswami","given":"Anjali"},{"family":"Geisler","given":"Jonathan H"}],"issued":{</vt:lpwstr>
  </property>
  <property fmtid="{D5CDD505-2E9C-101B-9397-08002B2CF9AE}" pid="551"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552"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553"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554" name="ZOTERO_BREF_xtAXZHqSamQK_8">
    <vt:lpwstr>Segura","given":"Valentina"},{"family":"Flores","given":"David A."},{"family":"Cappozzo","given":"Humberto L."}],"issued":{"date-parts":[["2016",9,27]]}}},{"id":2288,"uris":["http://zotero.org/users/10309729/items/PF8P5XCE"],"itemData":{"id":2288,"type":"</vt:lpwstr>
  </property>
  <property fmtid="{D5CDD505-2E9C-101B-9397-08002B2CF9AE}" pid="555"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556" name="ZOTERO_BREF_y0vWAZhyk2XD_1">
    <vt:lpwstr>ZOTERO_ITEM CSL_CITATION {"citationID":"TqdjBbs9","properties":{"formattedCitation":"(Minelli et al., 2013)","plainCitation":"(Minelli et al., 2013)","noteIndex":0},"citationItems":[{"id":2260,"uris":["http://zotero.org/users/10309729/items/B6G3BLHD"],"it</vt:lpwstr>
  </property>
  <property fmtid="{D5CDD505-2E9C-101B-9397-08002B2CF9AE}" pid="557" name="ZOTERO_BREF_y0vWAZhyk2XD_2">
    <vt:lpwstr>emData":{"id":2260,"type":"book","event-place":"Berlin, Heidelberg","ISBN":"978-3-642-36159-3","language":"en","note":"DOI: 10.1007/978-3-642-36160-9","publisher":"Springer Berlin Heidelberg","publisher-place":"Berlin, Heidelberg","source":"DOI.org (Cross</vt:lpwstr>
  </property>
  <property fmtid="{D5CDD505-2E9C-101B-9397-08002B2CF9AE}" pid="558"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559" name="ZOTERO_BREF_y0vWAZhyk2XD_4">
    <vt:lpwstr>Boxshall","given":"Geoffrey"},{"family":"Fusco","given":"Giuseppe"}],"accessed":{"date-parts":[["2023",7,25]]},"issued":{"date-parts":[["2013"]]}}}],"schema":"https://github.com/citation-style-language/schema/raw/master/csl-citation.json"}</vt:lpwstr>
  </property>
  <property fmtid="{D5CDD505-2E9C-101B-9397-08002B2CF9AE}" pid="560" name="ZOTERO_PREF_1">
    <vt:lpwstr>&lt;data data-version="3" zotero-version="6.0.27"&gt;&lt;session id="Ej9xsL1N"/&gt;&lt;style id="http://www.zotero.org/styles/apa" locale="en-GB" hasBibliography="1" bibliographyStyleHasBeenSet="0"/&gt;&lt;prefs&gt;&lt;pref name="fieldType" value="Bookmark"/&gt;&lt;/prefs&gt;&lt;/data&gt;</vt:lpwstr>
  </property>
</Properties>
</file>