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Linking modularity and conspicuous asymmetry in the insect head and mandibles.</w:t>
      </w:r>
    </w:p>
    <w:p>
      <w:pPr>
        <w:pStyle w:val="Normal"/>
        <w:rPr/>
      </w:pPr>
      <w:r>
        <w:rPr>
          <w:b/>
          <w:bCs/>
          <w:lang w:val="en-US"/>
        </w:rPr>
        <w:t xml:space="preserve">Abstract. </w:t>
      </w:r>
      <w:r>
        <w:rPr>
          <w:rFonts w:cs="Calibri"/>
          <w:color w:val="222222"/>
          <w:shd w:fill="FFFFFF" w:val="clear"/>
        </w:rPr>
        <w:t>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variational modularity, i.e., covariation patterns between landmark partitions, in a grasshopper with</w:t>
      </w:r>
      <w:r>
        <w:rPr>
          <w:rFonts w:cs="Calibri"/>
          <w:i/>
          <w:iCs/>
          <w:color w:val="222222"/>
          <w:shd w:fill="FFFFFF" w:val="clear"/>
        </w:rPr>
        <w:t xml:space="preserve"> </w:t>
      </w:r>
      <w:r>
        <w:rPr>
          <w:rFonts w:cs="Calibri"/>
          <w:color w:val="222222"/>
          <w:shd w:fill="FFFFFF" w:val="clear"/>
        </w:rPr>
        <w:t xml:space="preserve">conspicuously asymmetric mandibles. Our morphometric data confirms the presence of conspicuous directional asymmetry in the mandibles, and surrounding structures, but not in the dorsal half of the head, which carries sensory structures. The strongest modularity signal is found between a single module, composed of both mandibles, and the rest of the head, which is best explained by a combination of functional (feeding vs. sensory) and developmental (different ontogenetic origins) modularity.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 </w:t>
      </w:r>
    </w:p>
    <w:p>
      <w:pPr>
        <w:pStyle w:val="Normal"/>
        <w:jc w:val="both"/>
        <w:rPr/>
      </w:pPr>
      <w:r>
        <w:rPr/>
      </w:r>
    </w:p>
    <w:p>
      <w:pPr>
        <w:pStyle w:val="Normal"/>
        <w:jc w:val="both"/>
        <w:rPr>
          <w:b/>
          <w:b/>
          <w:bCs/>
          <w:lang w:val="en-US"/>
        </w:rPr>
      </w:pPr>
      <w:r>
        <w:rPr>
          <w:b/>
          <w:bCs/>
          <w:lang w:val="en-US"/>
        </w:rPr>
        <w:t xml:space="preserve">Keywords. </w:t>
      </w:r>
      <w:r>
        <w:rPr>
          <w:lang w:val="en-US"/>
        </w:rPr>
        <w:t>Bite force, Covariance ratio, EMMLi, geometric morphometrics, 3D landmarks, Orthoptera.</w:t>
      </w:r>
    </w:p>
    <w:p>
      <w:pPr>
        <w:pStyle w:val="Normal"/>
        <w:jc w:val="both"/>
        <w:rPr>
          <w:lang w:val="en-US"/>
        </w:rPr>
      </w:pPr>
      <w:r>
        <w:rPr>
          <w:lang w:val="en-US"/>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0" w:name="ZOTERO_BREF_ckfAwWmQrnuw"/>
      <w:r>
        <w:rPr>
          <w:rFonts w:cs="Calibri"/>
        </w:rPr>
        <w:t>(Babcock, 2005; Palmer, 1996; Van Valen, 1962)</w:t>
      </w:r>
      <w:bookmarkEnd w:id="0"/>
      <w:r>
        <w:rPr>
          <w:lang w:val="en-US"/>
        </w:rPr>
        <w:t xml:space="preserve">. The break-up of symmetry can take many other forms, sometimes less evident, and with different biological implications </w:t>
      </w:r>
      <w:bookmarkStart w:id="1" w:name="ZOTERO_BREF_7WC1znRDQ1AV"/>
      <w:r>
        <w:rPr>
          <w:rFonts w:cs="Calibri"/>
        </w:rPr>
        <w:t>(Klingenberg, 2022; Palmer, 1994; Van Valen, 1962)</w:t>
      </w:r>
      <w:bookmarkEnd w:id="1"/>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szCs w:val="24"/>
          <w:lang w:val="en-US"/>
        </w:rPr>
        <w:t>(Ben</w:t>
      </w:r>
      <w:r>
        <w:rPr/>
        <w:t>ítez et al., 2020; Graham et al., 1994;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5" w:name="ZOTERO_BREF_FLU8HEaFabQs"/>
      <w:r>
        <w:rPr>
          <w:rFonts w:cs="Calibri"/>
        </w:rPr>
        <w:t>(Babcock, 2005; Palmer, 2004)</w:t>
      </w:r>
      <w:bookmarkEnd w:id="5"/>
      <w:r>
        <w:rPr>
          <w:rFonts w:cs="Calibri"/>
          <w:lang w:val="en-US"/>
        </w:rPr>
        <w:t xml:space="preserve">. </w:t>
      </w:r>
    </w:p>
    <w:p>
      <w:pPr>
        <w:pStyle w:val="Normal"/>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sometimes to be adaptive </w:t>
      </w:r>
      <w:bookmarkStart w:id="6" w:name="ZOTERO_BREF_4UmGzHwVAjYq"/>
      <w:r>
        <w:rPr>
          <w:rFonts w:cs="Calibri"/>
          <w:lang w:val="en-US"/>
        </w:rPr>
        <w:t>(Palmer, 2004)</w:t>
      </w:r>
      <w:bookmarkEnd w:id="6"/>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7" w:name="ZOTERO_BREF_pDanY3tkotH3"/>
      <w:r>
        <w:rPr>
          <w:rFonts w:cs="Calibri"/>
          <w:szCs w:val="24"/>
          <w:lang w:val="en-US"/>
        </w:rPr>
        <w:t>(Klingenberg et al., 1998; P</w:t>
      </w:r>
      <w:r>
        <w:rPr/>
        <w:t>élabon &amp; Hansen, 2008; Pither &amp; Taylor, 2000)</w:t>
      </w:r>
      <w:bookmarkEnd w:id="7"/>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8" w:name="ZOTERO_BREF_xtAXZHqSamQK"/>
      <w:r>
        <w:rPr>
          <w:rFonts w:cs="Calibri"/>
          <w:szCs w:val="24"/>
          <w:lang w:val="en-US"/>
        </w:rPr>
        <w:t>(Churchill et al., 2019; del Castillo et al., 2016; Huggenberger et al., 2017; Laeta et al., 2023; Lanzetti et al., 2022; Macleod et al., 2007)</w:t>
      </w:r>
      <w:bookmarkEnd w:id="8"/>
      <w:r>
        <w:rPr>
          <w:rFonts w:cs="Calibri"/>
          <w:lang w:val="en-US"/>
        </w:rPr>
        <w:t xml:space="preserve">; extreme conspicuous directional asymmetry in the skulls of flatfishes relates to their benthic ecology </w:t>
      </w:r>
      <w:bookmarkStart w:id="9" w:name="ZOTERO_BREF_cVKPErJwiNyj"/>
      <w:r>
        <w:rPr>
          <w:rFonts w:cs="Calibri"/>
        </w:rPr>
        <w:t>(Evans et al., 2021)</w:t>
      </w:r>
      <w:bookmarkEnd w:id="9"/>
      <w:r>
        <w:rPr>
          <w:rFonts w:cs="Calibri"/>
          <w:lang w:val="en-US"/>
        </w:rPr>
        <w:t xml:space="preserve">; conspicuous antisymmetry in many Crustacean appendages has been related to divergent left and right functions </w:t>
      </w:r>
      <w:bookmarkStart w:id="10" w:name="ZOTERO_BREF_i2BWnl24xap6"/>
      <w:r>
        <w:rPr>
          <w:rFonts w:cs="Calibri"/>
        </w:rPr>
        <w:t>(Govind, 1989; Govind &amp; Blundon, 1985; Levinton, 2016; Pratt &amp; Mclain, 2002)</w:t>
      </w:r>
      <w:bookmarkEnd w:id="10"/>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11" w:name="ZOTERO_BREF_LFEM8B0DQM40"/>
      <w:r>
        <w:rPr>
          <w:rFonts w:cs="Calibri"/>
        </w:rPr>
        <w:t>(Palmer, 2004)</w:t>
      </w:r>
      <w:bookmarkEnd w:id="11"/>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2" w:name="ZOTERO_BREF_L5BuYt52vOGv"/>
      <w:r>
        <w:rPr>
          <w:rFonts w:cs="Calibri"/>
          <w:lang w:val="en-US"/>
        </w:rPr>
        <w:t xml:space="preserve"> </w:t>
      </w:r>
      <w:r>
        <w:rPr>
          <w:rFonts w:cs="Calibri"/>
        </w:rPr>
        <w:t>(Meinhardt, 2001; Palmer, 2004)</w:t>
      </w:r>
      <w:bookmarkEnd w:id="12"/>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13" w:name="ZOTERO_BREF_L3kOxDQVKzEV"/>
      <w:r>
        <w:rPr>
          <w:rFonts w:cs="Calibri"/>
        </w:rPr>
        <w:t>(Brown &amp; Wolpert, 1990; Govind, 1989; Palmer, 2016)</w:t>
      </w:r>
      <w:bookmarkEnd w:id="13"/>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of a bilaterally homologous structure represent developmental modules. In addition to being developmentally modular, each side may also sometimes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Such functional and/or developmental left-right modularity may be key in allowing bilaterally homologous structures to evolve different morphologies, and in some cases different functions </w:t>
      </w:r>
      <w:bookmarkStart w:id="17" w:name="ZOTERO_BREF_Kn8wLPvN7C8B"/>
      <w:r>
        <w:rPr>
          <w:rFonts w:cs="Calibri"/>
        </w:rPr>
        <w:t>(Clune et al., 2013; Wagner et al., 2007)</w:t>
      </w:r>
      <w:bookmarkEnd w:id="17"/>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18" w:name="ZOTERO_BREF_0j0igMblg3sN"/>
      <w:r>
        <w:rPr>
          <w:rFonts w:cs="Calibri"/>
        </w:rPr>
        <w:t>(Churchill et al., 2019; del Castillo et al., 2016, 2017)</w:t>
      </w:r>
      <w:bookmarkEnd w:id="18"/>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and among them Orthopterans, i.e. grasshoppers, crickets and relatives </w:t>
      </w:r>
      <w:bookmarkStart w:id="19" w:name="ZOTERO_BREF_QF27IoqYzK7q"/>
      <w:r>
        <w:rPr>
          <w:rFonts w:cs="Calibri"/>
        </w:rPr>
        <w:t>(Ball, 1992; Chapman, 1964; Clissold, 2007)</w:t>
      </w:r>
      <w:bookmarkEnd w:id="19"/>
      <w:r>
        <w:rPr>
          <w:rFonts w:cs="Calibri"/>
          <w:lang w:val="en-US"/>
        </w:rPr>
        <w:t xml:space="preserve">. Mandibles are used to induce shear and crush food, and their asymmetric shapes allow the distal parts (incisivi) to cross and act as double blades, and the proximal parts (molars) to occlude, forming a key-and-lock morphology (Fig. 1) </w:t>
      </w:r>
      <w:bookmarkStart w:id="20" w:name="ZOTERO_BREF_HQkxg2CqYOuc"/>
      <w:r>
        <w:rPr>
          <w:rFonts w:cs="Calibri"/>
        </w:rPr>
        <w:t>(Clissold, 2007)</w:t>
      </w:r>
      <w:bookmarkEnd w:id="20"/>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21" w:name="ZOTERO_BREF_3OWXh9mxvSio"/>
      <w:r>
        <w:rPr>
          <w:rFonts w:cs="Calibri"/>
        </w:rPr>
        <w:t>(Clissold, 2007)</w:t>
      </w:r>
      <w:bookmarkEnd w:id="21"/>
      <w:r>
        <w:rPr>
          <w:rFonts w:cs="Calibri"/>
          <w:lang w:val="en-US"/>
        </w:rPr>
        <w:t xml:space="preserve">. Contrary to the bones of the Cetacean skull, the Orthopteran mandibles remain to a large extent physically independent from each other, while, contrary to the fiddler crab claws, both mandibles must work together to achieve efficient feeding. The Orthopteran head (including mandibles) therefore constitutes an intermediate study case of an integrated structure, or </w:t>
      </w:r>
      <w:r>
        <w:rPr>
          <w:rFonts w:cs="Calibri"/>
          <w:i/>
          <w:iCs/>
          <w:lang w:val="en-US"/>
        </w:rPr>
        <w:t>tagma</w:t>
      </w:r>
      <w:r>
        <w:rPr>
          <w:rFonts w:cs="Calibri"/>
          <w:lang w:val="en-US"/>
        </w:rPr>
        <w:t xml:space="preserve"> </w:t>
      </w:r>
      <w:bookmarkStart w:id="22" w:name="ZOTERO_BREF_ctq9xdr3MIsT"/>
      <w:r>
        <w:rPr>
          <w:rFonts w:cs="Calibri"/>
        </w:rPr>
        <w:t>(Minelli et al., 2013)</w:t>
      </w:r>
      <w:bookmarkEnd w:id="22"/>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 In addition to a common function, left and right mandibles share a common developmental origin</w:t>
      </w:r>
      <w:bookmarkStart w:id="23" w:name="ZOTERO_BREF_CqreNpKaVkew"/>
      <w:r>
        <w:rPr>
          <w:rFonts w:cs="Calibri"/>
          <w:lang w:val="en-US"/>
        </w:rPr>
        <w:t xml:space="preserve"> </w:t>
      </w:r>
      <w:r>
        <w:rPr>
          <w:rFonts w:cs="Calibri"/>
        </w:rPr>
        <w:t>(Posnien &amp; Bucher, 2010)</w:t>
      </w:r>
      <w:bookmarkEnd w:id="23"/>
      <w:r>
        <w:rPr>
          <w:rFonts w:cs="Calibri"/>
          <w:lang w:val="en-US"/>
        </w:rPr>
        <w:t>.</w:t>
      </w:r>
    </w:p>
    <w:p>
      <w:pPr>
        <w:pStyle w:val="Normal"/>
        <w:jc w:val="both"/>
        <w:rPr>
          <w:rFonts w:ascii="Calibri" w:hAnsi="Calibri" w:cs="Calibri"/>
          <w:lang w:val="en-US"/>
        </w:rPr>
      </w:pPr>
      <w:r>
        <w:rPr>
          <w:lang w:val="en-US"/>
        </w:rPr>
        <w:t xml:space="preserve">We propose that (i) to achieve conspicuous asymmetry, the opposite medio-lateral axes of development must have some degree of autonomy from each other, thereby forming modules. At the same time, because head symmetry should be generally maintained, we may expect that (ii) asymmetric structures should be to some degree autonomous from symmetric ones leading to significant modularity between them, to allow for asymmetry to arise. (iii) In the case where the left and right asymmetric components must work together to achieve a common function, functional constraints may also counteract potential right-left developmental modularity suggested in point (i). Another possibility is that (iv) asymmetries may “spill-over” to neighboring areas, for example here through asymmetric mechanical loads on the head capsule </w:t>
      </w:r>
      <w:bookmarkStart w:id="24" w:name="ZOTERO_BREF_5kySEONBN16Z"/>
      <w:r>
        <w:rPr>
          <w:rFonts w:cs="Calibri"/>
        </w:rPr>
        <w:t>(Levinton, 2016; Pratt &amp; Mclain, 2002; Tiwari et al., 2017)</w:t>
      </w:r>
      <w:bookmarkEnd w:id="24"/>
      <w:r>
        <w:rPr>
          <w:rFonts w:cs="Calibri"/>
        </w:rPr>
        <w:t>, which would increase correlations (and reduce modularity) between the conspicuously asymmetric structures and their anatomically linked structures</w:t>
      </w:r>
      <w:r>
        <w:rPr>
          <w:rFonts w:cs="Calibri"/>
          <w:lang w:val="en-US"/>
        </w:rPr>
        <w:t>.</w:t>
      </w:r>
    </w:p>
    <w:p>
      <w:pPr>
        <w:pStyle w:val="Normal"/>
        <w:jc w:val="both"/>
        <w:rPr>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Pr>
          <w:rFonts w:cs="Calibri"/>
          <w:i/>
          <w:iCs/>
          <w:lang w:val="en-US"/>
        </w:rPr>
        <w:t>variational</w:t>
      </w:r>
      <w:r>
        <w:rPr>
          <w:rFonts w:cs="Calibri"/>
          <w:lang w:val="en-US"/>
        </w:rPr>
        <w:t xml:space="preserve"> modular partitions and compare them to each other </w:t>
      </w:r>
      <w:bookmarkStart w:id="25" w:name="ZOTERO_BREF_rMLyQcf3OzBn"/>
      <w:r>
        <w:rPr>
          <w:rFonts w:cs="Calibri"/>
        </w:rPr>
        <w:t>(Klingenberg et al., 2001; Wagner et al., 2007; Zelditch &amp; Goswami, 2021)</w:t>
      </w:r>
      <w:bookmarkEnd w:id="25"/>
      <w:r>
        <w:rPr>
          <w:rFonts w:cs="Calibri"/>
          <w:lang w:val="en-US"/>
        </w:rPr>
        <w:t xml:space="preserve">. We expect that mandibles should show strong directional asymmetry, as already shown qualitatively. We also expect that their asymmetrical mechanical actions may induce asymmetry in the neighboring regions, but less so in more distant regions of the head, especially around sensory structures for which symmetry is functionally advantageous (e.g. compound eyes). Second, we expect that, according to point (i), the left and right mandibles may constitute variational modules, with lower-than-expected integration between them,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6" w:name="ZOTERO_BREF_KOa81RsfbjBj"/>
      <w:r>
        <w:rPr>
          <w:rFonts w:cs="Calibri"/>
          <w:szCs w:val="24"/>
          <w:lang w:val="en-US"/>
        </w:rPr>
        <w:t>(Hansen et al., 2006; P</w:t>
      </w:r>
      <w:r>
        <w:rPr/>
        <w:t>élabon &amp; Hansen, 2008</w:t>
      </w:r>
      <w:bookmarkEnd w:id="26"/>
      <w:r>
        <w:rPr/>
        <w:t>)</w:t>
      </w:r>
      <w:r>
        <w:rPr>
          <w:rFonts w:cs="Calibri"/>
          <w:lang w:val="en-US"/>
        </w:rPr>
        <w:t>, with individuals deviating from the optimal level of asymmetry having worse biting performance.</w:t>
      </w:r>
    </w:p>
    <w:p>
      <w:pPr>
        <w:pStyle w:val="Normal"/>
        <w:jc w:val="both"/>
        <w:rPr>
          <w:lang w:val="en-US"/>
        </w:rPr>
      </w:pPr>
      <w:r>
        <w:rPr>
          <w:lang w:val="en-US"/>
        </w:rPr>
      </w:r>
    </w:p>
    <w:p>
      <w:pPr>
        <w:pStyle w:val="Normal"/>
        <w:jc w:val="both"/>
        <w:rPr>
          <w:b/>
          <w:b/>
          <w:bCs/>
          <w:lang w:val="en-US"/>
        </w:rPr>
      </w:pPr>
      <w:r>
        <w:rPr>
          <w:b/>
          <w:bCs/>
          <w:lang w:val="en-US"/>
        </w:rPr>
        <w:t>Materials and Methods</w:t>
      </w:r>
    </w:p>
    <w:p>
      <w:pPr>
        <w:pStyle w:val="Normal"/>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(Forskål, 1775) were purchased from Fressnapf© (Krefeld, Germany). The animals were brought back to the lab, were fed, and their maximal bite forces were measured using the setup developed by </w:t>
      </w:r>
      <w:bookmarkStart w:id="27" w:name="ZOTERO_BREF_WqoaLINSFuqY"/>
      <w:r>
        <w:rPr>
          <w:rFonts w:cs="Calibri"/>
          <w:szCs w:val="24"/>
          <w:lang w:val="en-US"/>
        </w:rPr>
        <w:t>(R</w:t>
      </w:r>
      <w:r>
        <w:rPr/>
        <w:t>ühr &amp; Blanke, 2022)</w:t>
      </w:r>
      <w:bookmarkEnd w:id="27"/>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physiologically maximum bite forces </w:t>
      </w:r>
      <w:bookmarkStart w:id="28" w:name="ZOTERO_BREF_Abf3Egn3RMr1"/>
      <w:r>
        <w:rPr>
          <w:rFonts w:cs="Calibri"/>
          <w:szCs w:val="24"/>
          <w:lang w:val="en-US"/>
        </w:rPr>
        <w:t>(P</w:t>
      </w:r>
      <w:r>
        <w:rPr/>
        <w:t>üffel et al., 2023)</w:t>
      </w:r>
      <w:bookmarkEnd w:id="28"/>
      <w:r>
        <w:rPr/>
        <w:t>.</w:t>
      </w:r>
      <w:r>
        <w:rPr>
          <w:rFonts w:cs="Calibri"/>
          <w:szCs w:val="24"/>
          <w:lang w:val="en-US"/>
        </w:rPr>
        <w:t xml:space="preserve">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(Tousimis Autosamdri 931.GL) before microCT using a Bruker SkyScan 1272 (voltage = 50 kV, current = 200 µA, Image pixel size = 6.0 µm or 7.5 µm) and reconstructed using NRecon. All heads had fully closed mandibles when scanned, to ensure anatomical comparability between specimens.</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9" w:name="ZOTERO_BREF_dguldPDeadxx"/>
      <w:r>
        <w:rPr>
          <w:rFonts w:cs="Calibri"/>
        </w:rPr>
        <w:t>(Lebrun, 2018)</w:t>
      </w:r>
      <w:bookmarkEnd w:id="29"/>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30" w:name="ZOTERO_BREF_FUPy8jCD7weC"/>
      <w:r>
        <w:rPr>
          <w:rFonts w:cs="Calibri"/>
        </w:rPr>
        <w:t>(Claude, 2008)</w:t>
      </w:r>
      <w:bookmarkEnd w:id="30"/>
      <w:r>
        <w:rPr>
          <w:rFonts w:cs="Calibri"/>
          <w:lang w:val="en-US"/>
        </w:rPr>
        <w:t xml:space="preserve">. Two different approaches were used in the decomposition of asymmetric variation. First, we implemented the approach from </w:t>
      </w:r>
      <w:bookmarkStart w:id="31" w:name="ZOTERO_BREF_iRw2R6aZcixc"/>
      <w:r>
        <w:rPr>
          <w:rFonts w:cs="Calibri"/>
        </w:rPr>
        <w:t>(Neubauer et al., 2020)</w:t>
      </w:r>
      <w:bookmarkEnd w:id="31"/>
      <w:r>
        <w:rPr>
          <w:rFonts w:cs="Calibri"/>
          <w:lang w:val="en-US"/>
        </w:rPr>
        <w:t xml:space="preserve">, with custom code, to obtain estimates of individual fluctuating asymmetry (iFA) and individual directional asymmetry (iDA) at the individual level. This relies on the use of non-centered PCA on the matrix of differences between the configuration of a given individual and its reflection across the sagittal plane. In the resulting PCA, the center of the space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iDA in shape differences represented by this axis. When the population average along an axis is not different from 0 (and the distribution is not bimodal, which would suggest antisymmetry), the individual positions can serve as a proxy for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2" w:name="ZOTERO_BREF_cM7pra86IZ9z"/>
      <w:r>
        <w:rPr>
          <w:rFonts w:cs="Calibri"/>
        </w:rPr>
        <w:t>(Palmer, 1994</w:t>
      </w:r>
      <w:bookmarkEnd w:id="32"/>
      <w:r>
        <w:rPr>
          <w:rFonts w:cs="Calibri"/>
        </w:rPr>
        <w:t>)</w:t>
      </w:r>
      <w:r>
        <w:rPr>
          <w:rFonts w:cs="Calibri"/>
          <w:lang w:val="en-US"/>
        </w:rPr>
        <w:t xml:space="preserve">, as implemented in the geomorph R package (function bilat.symmetry) </w:t>
      </w:r>
      <w:bookmarkStart w:id="33" w:name="ZOTERO_BREF_km5RD4Bd9jxA"/>
      <w:r>
        <w:rPr>
          <w:rFonts w:cs="Calibri"/>
          <w:szCs w:val="24"/>
          <w:lang w:val="en-US"/>
        </w:rPr>
        <w:t>(Adams &amp; Ot</w:t>
      </w:r>
      <w:r>
        <w:rPr/>
        <w:t>árola-Castillo, 2013</w:t>
      </w:r>
      <w:bookmarkEnd w:id="33"/>
      <w:r>
        <w:rP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groups of traits / anatomical regions </w:t>
      </w:r>
      <w:bookmarkStart w:id="34" w:name="ZOTERO_BREF_MVD4WOE2Rp1e"/>
      <w:r>
        <w:rPr>
          <w:rFonts w:cs="Calibri"/>
        </w:rPr>
        <w:t>(Zelditch &amp; Goswami, 2021)</w:t>
      </w:r>
      <w:bookmarkEnd w:id="34"/>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t>
      </w:r>
      <w:bookmarkStart w:id="35" w:name="ZOTERO_BREF_btRxkT37Pt17"/>
      <w:r>
        <w:rPr>
          <w:rFonts w:cs="Calibri"/>
        </w:rPr>
        <w:t>(Goswami &amp; Finarelli, 2016)</w:t>
      </w:r>
      <w:bookmarkEnd w:id="35"/>
      <w:r>
        <w:rPr>
          <w:rFonts w:cs="Calibri"/>
          <w:lang w:val="en-US"/>
        </w:rPr>
        <w:t>, and CR (Covariance ratio), implemented in the geomorph v. 4.0.5 package</w:t>
      </w:r>
      <w:bookmarkStart w:id="36" w:name="ZOTERO_BREF_PJ1CbOcjQXTW"/>
      <w:r>
        <w:rPr>
          <w:rFonts w:cs="Calibri"/>
          <w:lang w:val="en-US"/>
        </w:rPr>
        <w:t xml:space="preserve"> </w:t>
      </w:r>
      <w:r>
        <w:rPr>
          <w:rFonts w:cs="Calibri"/>
        </w:rPr>
        <w:t>(Adams, 2016; Adams &amp; Collyer, 2016)</w:t>
      </w:r>
      <w:bookmarkEnd w:id="36"/>
      <w:r>
        <w:rPr>
          <w:rFonts w:cs="Calibri"/>
          <w:lang w:val="en-US"/>
        </w:rPr>
        <w:t xml:space="preserve">. Because EMMLi has been shown to have high false positive rates and to strongly favor models with more parameters </w:t>
      </w:r>
      <w:bookmarkStart w:id="37" w:name="ZOTERO_BREF_f86YAPWxOAd9"/>
      <w:r>
        <w:rPr>
          <w:rFonts w:cs="Calibri"/>
          <w:lang w:val="en-US"/>
        </w:rPr>
        <w:t>(Adams &amp; Collyer, 2019)</w:t>
      </w:r>
      <w:bookmarkEnd w:id="37"/>
      <w:r>
        <w:rPr>
          <w:rFonts w:cs="Calibri"/>
          <w:lang w:val="en-US"/>
        </w:rPr>
        <w: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t>
      </w:r>
      <w:bookmarkStart w:id="38" w:name="ZOTERO_BREF_0rC7cAJcRDA6"/>
      <w:r>
        <w:rPr>
          <w:rFonts w:cs="Calibri"/>
          <w:lang w:val="en-US"/>
        </w:rPr>
        <w:t>(Cardini, 2019, 2023; Zelditch &amp; Swiderski, 2023)</w:t>
      </w:r>
      <w:bookmarkEnd w:id="38"/>
      <w:r>
        <w:rPr/>
        <w: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t>
      </w:r>
      <w:bookmarkStart w:id="39" w:name="ZOTERO_BREF_hcLQVUs7H47M"/>
      <w:r>
        <w:rPr/>
        <w:t>(Cardini, 2019)</w:t>
      </w:r>
      <w:bookmarkEnd w:id="39"/>
      <w:r>
        <w:rPr/>
        <w:t>.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the functional key-and-lock principle for good occlusion between mandibles would lead to an optimum asymmetry value maximizing bite forces, and therefore to a quadratic relationship between BF and iTA or iDA. On the other hand, FA is generally considered to worsen fitness, therefore possibly leading to a negative relationship between iFA and BF. Finally, to test whether these traits are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40" w:name="ZOTERO_BREF_68QdmUc7oQYV"/>
      <w:r>
        <w:rPr>
          <w:rFonts w:cs="Calibri"/>
          <w:szCs w:val="24"/>
          <w:lang w:val="en-US"/>
        </w:rPr>
        <w:t>(Hansen et al., 2006; P</w:t>
      </w:r>
      <w:r>
        <w:rPr/>
        <w:t>élabon &amp; Hansen, 2008)</w:t>
      </w:r>
      <w:bookmarkEnd w:id="40"/>
      <w:r>
        <w:rPr>
          <w:rFonts w:cs="Calibri"/>
          <w:szCs w:val="24"/>
          <w:lang w:val="en-US"/>
        </w:rPr>
        <w:t xml:space="preserve">. </w:t>
      </w:r>
    </w:p>
    <w:p>
      <w:pPr>
        <w:pStyle w:val="Normal"/>
        <w:jc w:val="both"/>
        <w:rPr>
          <w:lang w:val="en-US"/>
        </w:rPr>
      </w:pPr>
      <w:r>
        <w:rPr>
          <w:rFonts w:cs="Calibri"/>
          <w:szCs w:val="24"/>
          <w:lang w:val="en-US"/>
        </w:rPr>
        <w:t>All statistical analyses were carried out in the R programming environment version 4.2.1.</w:t>
      </w:r>
    </w:p>
    <w:p>
      <w:pPr>
        <w:pStyle w:val="Normal"/>
        <w:jc w:val="both"/>
        <w:rPr>
          <w:b/>
          <w:b/>
          <w:bCs/>
        </w:rPr>
      </w:pPr>
      <w:r>
        <w:rPr>
          <w:rFonts w:cs="Calibri"/>
          <w:b/>
          <w:bCs/>
          <w:szCs w:val="24"/>
          <w:lang w:val="en-US"/>
        </w:rPr>
        <w:t>Results</w:t>
      </w:r>
    </w:p>
    <w:p>
      <w:pPr>
        <w:pStyle w:val="Normal"/>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show a higher FA (Supp. Fig. 1).</w:t>
      </w:r>
    </w:p>
    <w:p>
      <w:pPr>
        <w:pStyle w:val="Normal"/>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r = 0.3569, t = 2.6191, df = 47, P = 0.0118). Similar results were obtained when restricting these analyses to landmarks from the mandibles only.</w:t>
      </w:r>
    </w:p>
    <w:p>
      <w:pPr>
        <w:pStyle w:val="Normal"/>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pPr>
        <w:pStyle w:val="Normal"/>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pPr>
        <w:pStyle w:val="Normal"/>
        <w:jc w:val="both"/>
        <w:rPr>
          <w:i/>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iDA (Pearson's correlation, r = -0.0102, t = -0.0691, df = 46, P = 0.9452), nor to iFA (r = 0.1138, t = 0.7771, df = 46, P = 0.4411), nor to iTA (r = 0.0244, t = 0.1657, df = 46, P = 0.8691). Quadratic and linear model fits to the data were all non-significant (all R² &lt; 0.1, all P &gt; 0.2, Fig. 7). This result held whether we used iDA, iFA, iTA, or iDA restricted to only the mandibles. The </w:t>
      </w:r>
      <w:r>
        <w:rPr>
          <w:rFonts w:cs="Calibri"/>
          <w:lang w:val="en-US"/>
        </w:rPr>
        <w:t>coefficients of phenotypic variation (CV</w:t>
      </w:r>
      <w:r>
        <w:rPr>
          <w:rFonts w:cs="Calibri"/>
          <w:vertAlign w:val="subscript"/>
          <w:lang w:val="en-US"/>
        </w:rPr>
        <w:t>p</w:t>
      </w:r>
      <w:r>
        <w:rPr>
          <w:rFonts w:cs="Calibri"/>
          <w:lang w:val="en-US"/>
        </w:rPr>
        <w:t>) were rather low for iTA (CV</w:t>
      </w:r>
      <w:r>
        <w:rPr>
          <w:rFonts w:cs="Calibri"/>
          <w:vertAlign w:val="subscript"/>
          <w:lang w:val="en-US"/>
        </w:rPr>
        <w:t xml:space="preserve">p </w:t>
      </w:r>
      <w:r>
        <w:rPr>
          <w:rFonts w:cs="Calibri"/>
          <w:lang w:val="en-US"/>
        </w:rPr>
        <w:t>= 0.1716) and iDA (CV</w:t>
      </w:r>
      <w:r>
        <w:rPr>
          <w:rFonts w:cs="Calibri"/>
          <w:vertAlign w:val="subscript"/>
          <w:lang w:val="en-US"/>
        </w:rPr>
        <w:t xml:space="preserve">p </w:t>
      </w:r>
      <w:r>
        <w:rPr>
          <w:rFonts w:cs="Calibri"/>
          <w:lang w:val="en-US"/>
        </w:rPr>
        <w:t>= 0.2128), slightly higher for bite force (CV</w:t>
      </w:r>
      <w:r>
        <w:rPr>
          <w:rFonts w:cs="Calibri"/>
          <w:vertAlign w:val="subscript"/>
          <w:lang w:val="en-US"/>
        </w:rPr>
        <w:t xml:space="preserve">p </w:t>
      </w:r>
      <w:r>
        <w:rPr>
          <w:rFonts w:cs="Calibri"/>
          <w:lang w:val="en-US"/>
        </w:rPr>
        <w:t>= 0.3147), and very high for iFA (CV</w:t>
      </w:r>
      <w:r>
        <w:rPr>
          <w:rFonts w:cs="Calibri"/>
          <w:vertAlign w:val="subscript"/>
          <w:lang w:val="en-US"/>
        </w:rPr>
        <w:t xml:space="preserve">p </w:t>
      </w:r>
      <w:r>
        <w:rPr>
          <w:rFonts w:cs="Calibri"/>
          <w:lang w:val="en-US"/>
        </w:rPr>
        <w:t>= 1.2334). For reference we also computed CV</w:t>
      </w:r>
      <w:r>
        <w:rPr>
          <w:rFonts w:cs="Calibri"/>
          <w:vertAlign w:val="subscript"/>
          <w:lang w:val="en-US"/>
        </w:rPr>
        <w:t xml:space="preserve">p </w:t>
      </w:r>
      <w:r>
        <w:rPr>
          <w:rFonts w:cs="Calibri"/>
          <w:lang w:val="en-US"/>
        </w:rPr>
        <w:t>for head centroid size, which had a much lower value of CV</w:t>
      </w:r>
      <w:r>
        <w:rPr>
          <w:rFonts w:cs="Calibri"/>
          <w:vertAlign w:val="subscript"/>
          <w:lang w:val="en-US"/>
        </w:rPr>
        <w:t xml:space="preserve">p </w:t>
      </w:r>
      <w:r>
        <w:rPr>
          <w:rFonts w:cs="Calibri"/>
          <w:lang w:val="en-US"/>
        </w:rPr>
        <w:t>= 0.0506.</w:t>
      </w:r>
    </w:p>
    <w:p>
      <w:pPr>
        <w:pStyle w:val="Normal"/>
        <w:jc w:val="both"/>
        <w:rPr>
          <w:b/>
          <w:b/>
          <w:bCs/>
          <w:i/>
          <w:i/>
          <w:iCs/>
          <w:lang w:val="en-US"/>
        </w:rPr>
      </w:pPr>
      <w:r>
        <w:rPr>
          <w:rFonts w:cs="Calibri"/>
          <w:b/>
          <w:bCs/>
          <w:lang w:val="en-US"/>
        </w:rPr>
        <w:t>Discussion</w:t>
      </w:r>
    </w:p>
    <w:p>
      <w:pPr>
        <w:pStyle w:val="Normal"/>
        <w:jc w:val="both"/>
        <w:rPr>
          <w:i/>
          <w:i/>
          <w:iCs/>
          <w:lang w:val="en-US"/>
        </w:rPr>
      </w:pPr>
      <w:r>
        <w:rPr>
          <w:rFonts w:cs="Calibri"/>
          <w:lang w:val="en-US"/>
        </w:rPr>
        <w:t xml:space="preserve">In this study, we showed large and significant directional asymmetry (DA) in the head of the grasshopper </w:t>
      </w:r>
      <w:r>
        <w:rPr>
          <w:rFonts w:cs="Calibri"/>
          <w:i/>
          <w:iCs/>
          <w:lang w:val="en-US"/>
        </w:rPr>
        <w:t>Schistocerca gregaria</w:t>
      </w:r>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than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pPr>
        <w:pStyle w:val="Normal"/>
        <w:jc w:val="both"/>
        <w:rPr/>
      </w:pPr>
      <w:r>
        <w:rPr>
          <w:rFonts w:cs="Calibri"/>
          <w:i/>
          <w:iCs/>
          <w:lang w:val="en-US"/>
        </w:rPr>
        <w:t>Linking conspicuous asymmetry with modularity.</w:t>
      </w:r>
      <w:r>
        <w:rPr>
          <w:rFonts w:cs="Calibri"/>
          <w:lang w:val="en-US"/>
        </w:rPr>
        <w:t xml:space="preserve"> </w:t>
      </w:r>
    </w:p>
    <w:p>
      <w:pPr>
        <w:pStyle w:val="Normal"/>
        <w:jc w:val="both"/>
        <w:rPr/>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41" w:name="ZOTERO_BREF_y0vWAZhyk2XD"/>
      <w:r>
        <w:rPr>
          <w:rFonts w:cs="Calibri"/>
          <w:lang w:val="en-US"/>
        </w:rPr>
        <w:t>(Minelli et al., 2013)</w:t>
      </w:r>
      <w:bookmarkEnd w:id="41"/>
      <w:r>
        <w:rPr>
          <w:rFonts w:cs="Calibri"/>
          <w:lang w:val="en-US"/>
        </w:rPr>
        <w:t xml:space="preserve">, our results show that the insect head is also to some extent variationally modular. This result fits with the fact that different parts of the head derive developmentally from various specialized segments </w:t>
      </w:r>
      <w:bookmarkStart w:id="42" w:name="ZOTERO_BREF_70wft38ECdda"/>
      <w:r>
        <w:rPr>
          <w:rFonts w:cs="Calibri"/>
          <w:lang w:val="en-US"/>
        </w:rPr>
        <w:t>(Posnien &amp; Bucher, 2010)</w:t>
      </w:r>
      <w:bookmarkEnd w:id="42"/>
      <w:r>
        <w:rPr>
          <w:rFonts w:cs="Calibri"/>
          <w:lang w:val="en-US"/>
        </w:rPr>
        <w:t>, which are then used for different functions. Variational modularity patterns support the idea that the mandibles form a functional module for feeding, while the dorsal half of the head is a functional module for sensing.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 xml:space="preserve">Indeed, both approaches used to test and compare modularity partitions of the head lend some support to the fact that the left and right mandibles each constitute a variational module (hypothesis (i) of the Introduction). 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t>
      </w:r>
      <w:bookmarkStart w:id="43" w:name="ZOTERO_BREF_iQAmma8wn06h"/>
      <w:r>
        <w:rPr>
          <w:rFonts w:cs="Calibri"/>
          <w:lang w:val="en-US"/>
        </w:rPr>
        <w:t>(Adams &amp; Collyer, 2019)</w:t>
      </w:r>
      <w:bookmarkEnd w:id="43"/>
      <w:r>
        <w:rP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t>
      </w:r>
      <w:bookmarkStart w:id="44" w:name="ZOTERO_BREF_hAtWOIK1s3WR"/>
      <w:r>
        <w:rPr/>
        <w:t>(Meinhardt, 2001; Palmer, 2004</w:t>
      </w:r>
      <w:bookmarkEnd w:id="44"/>
      <w:r>
        <w:rPr/>
        <w:t>).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Because FA is of random direction, it may also reduce the correlation between left and right mandible shapes. However, the amount of variation explained by FA is very limited in comparison to DA, which would suggest that the influence of FA on modularity patterns is small.</w:t>
      </w:r>
    </w:p>
    <w:p>
      <w:pPr>
        <w:pStyle w:val="Normal"/>
        <w:rPr/>
      </w:pPr>
      <w:r>
        <w:rP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In other terms, the developmental pathways for left and right mandibles must diverge at some point, but their combined target phenotype must be tightly integrated. This is corroborated by the relatively small CV</w:t>
      </w:r>
      <w:r>
        <w:rPr>
          <w:vertAlign w:val="subscript"/>
        </w:rPr>
        <w:t>P</w:t>
      </w:r>
      <w:r>
        <w:rPr/>
        <w:t xml:space="preserve"> of iTA and iDA, which fall in the range of values for characters under selection </w:t>
      </w:r>
      <w:bookmarkStart w:id="45" w:name="ZOTERO_BREF_HUyDELwvmtSo"/>
      <w:r>
        <w:rPr/>
        <w:t>(Hansen et al., 2006; Pélabon &amp; Hansen, 2008</w:t>
      </w:r>
      <w:bookmarkEnd w:id="45"/>
      <w:r>
        <w:rPr/>
        <w:t>).</w:t>
      </w:r>
    </w:p>
    <w:p>
      <w:pPr>
        <w:pStyle w:val="Normal"/>
        <w:rPr>
          <w:lang w:val="en-US"/>
        </w:rPr>
      </w:pPr>
      <w:r>
        <w:rPr/>
        <w:t xml:space="preserve">Variational modularity between the mandibles and the rest of the head might have been expected, considering that the mandibles constitute both a developmentally </w:t>
      </w:r>
      <w:bookmarkStart w:id="46" w:name="ZOTERO_BREF_vF2GNk5973Xc"/>
      <w:r>
        <w:rPr/>
        <w:t>(Posnien &amp; Bucher, 2010</w:t>
      </w:r>
      <w:bookmarkEnd w:id="46"/>
      <w:r>
        <w:rPr/>
        <w:t xml:space="preserve">) and functionally distinct module. Our results constitute evidence that modularity between the head and the mandibles allows conspicuous asymmetry to appear in the mandibles while maintaining the head's global symmetry. This could potentially be a general rule in cases of conspicuous asymmetry arising in Bilaterians, where modularity may be </w:t>
      </w:r>
      <w:r>
        <w:rPr>
          <w:lang w:val="en-US"/>
        </w:rPr>
        <w:t>an</w:t>
      </w:r>
      <w:r>
        <w:rPr/>
        <w:t xml:space="preserve"> evolutionary way to relax locally the constraints of symmetry, akin to the more general idea that modularity may "favor evolvability by allowing one module to change without interfering with the rest of the organism" </w:t>
      </w:r>
      <w:bookmarkStart w:id="47" w:name="ZOTERO_BREF_EIYlyl5k9kwt"/>
      <w:r>
        <w:rPr/>
        <w:t>(Hansen, 2003)</w:t>
      </w:r>
      <w:bookmarkEnd w:id="47"/>
      <w:r>
        <w:rP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48" w:name="ZOTERO_BREF_GYjtrntB6nLf"/>
      <w:r>
        <w:rPr>
          <w:rFonts w:cs="Calibri"/>
          <w:lang w:val="en-US"/>
        </w:rPr>
        <w:t>(Hansen, 2003; Zelditch &amp; Goswami, 2021)</w:t>
      </w:r>
      <w:bookmarkEnd w:id="48"/>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Pr>
          <w:i/>
          <w:iCs/>
          <w:lang w:val="en-US"/>
        </w:rPr>
        <w:t>within</w:t>
      </w:r>
      <w:r>
        <w:rPr>
          <w:lang w:val="en-US"/>
        </w:rPr>
        <w:t xml:space="preserve"> left and right structures and increasing modularity </w:t>
      </w:r>
      <w:r>
        <w:rPr>
          <w:i/>
          <w:iCs/>
          <w:lang w:val="en-US"/>
        </w:rPr>
        <w:t>between</w:t>
      </w:r>
      <w:r>
        <w:rPr>
          <w:lang w:val="en-US"/>
        </w:rPr>
        <w:t xml:space="preserve"> them.</w:t>
      </w:r>
    </w:p>
    <w:p>
      <w:pPr>
        <w:pStyle w:val="Normal"/>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rPr/>
        <w:t xml:space="preserve">In the case of the grasshopper, mandibles are working together to achieve a single function, which certainly constrains the degree of modularity between left and right sides. In other cases, such as claws of lobsters or fiddler crabs, left and right functions are divergent, and one might therefore expect even stronger left-right autonomy, although there is data indicating significant linkage in dimorphic crab claws </w:t>
      </w:r>
      <w:bookmarkStart w:id="49" w:name="ZOTERO_BREF_BOBZmCpDI6dC"/>
      <w:r>
        <w:rPr/>
        <w:t>(Levinton, 2016)</w:t>
      </w:r>
      <w:bookmarkEnd w:id="49"/>
      <w:r>
        <w:rP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50" w:name="ZOTERO_BREF_zlnQ9zcQounR"/>
      <w:r>
        <w:rPr>
          <w:rFonts w:cs="Calibri"/>
        </w:rPr>
        <w:t>(Nogueira et al., 2022)</w:t>
      </w:r>
      <w:bookmarkEnd w:id="50"/>
      <w:r>
        <w:rP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rPr/>
        <w:t>. One may also expect that in more symmetrical species, e.g. insects with symmetrical mandibles, Mysticete whales which have symmetrical skulls, or crustaceans with symmetric claws, modularity should be smaller both between left and right sides, and between the studied structure and its anatomical surroundings. This idea is indirectly supported by results from Churchill et al. (2019), who found a larger number of modules in Odontocete whales skulls, compared to classical modularity patterns found in other mammals.</w:t>
      </w:r>
    </w:p>
    <w:p>
      <w:pPr>
        <w:pStyle w:val="Normal"/>
        <w:jc w:val="both"/>
        <w:rPr>
          <w:i/>
          <w:i/>
          <w:iCs/>
          <w:lang w:val="en-US"/>
        </w:rPr>
      </w:pPr>
      <w:r>
        <w:rPr>
          <w:rFonts w:cs="Calibri"/>
          <w:i/>
          <w:iCs/>
          <w:lang w:val="en-US"/>
        </w:rPr>
        <w:t>Asymmetry "spill-over" and modularity within the head capsule</w:t>
      </w:r>
      <w:r>
        <w:rPr>
          <w:rFonts w:cs="Calibri"/>
          <w:lang w:val="en-US"/>
        </w:rPr>
        <w:t>.</w:t>
      </w:r>
    </w:p>
    <w:p>
      <w:pPr>
        <w:pStyle w:val="Normal"/>
        <w:jc w:val="both"/>
        <w:rPr>
          <w:i/>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(Weihmann &amp; Wipfler, 2019). The limited DA observed in this dorsal region may therefore be explained by 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 as on the dorsal head capsule.</w:t>
      </w:r>
    </w:p>
    <w:p>
      <w:pPr>
        <w:pStyle w:val="Normal"/>
        <w:rPr>
          <w:lang w:val="en-US"/>
        </w:rPr>
      </w:pPr>
      <w:r>
        <w:rPr>
          <w:lang w:val="en-US"/>
        </w:rPr>
      </w:r>
    </w:p>
    <w:p>
      <w:pPr>
        <w:pStyle w:val="Normal"/>
        <w:jc w:val="both"/>
        <w:rPr>
          <w:i/>
          <w:i/>
          <w:iCs/>
        </w:rPr>
      </w:pPr>
      <w:r>
        <w:rPr>
          <w:i/>
          <w:iCs/>
        </w:rPr>
        <w:t>Effect of module-by-module superimposition on modularity analyses.</w:t>
      </w:r>
    </w:p>
    <w:p>
      <w:pPr>
        <w:pStyle w:val="Normal"/>
        <w:rPr/>
      </w:pPr>
      <w:r>
        <w:rPr/>
        <w:t xml:space="preserve">There is ongoing discussion in the morphometrics community about the impact of Procrustes superimposition on modularity and integration results </w:t>
      </w:r>
      <w:bookmarkStart w:id="51" w:name="ZOTERO_BREF_Yrf5xcv0GEvm"/>
      <w:r>
        <w:rPr/>
        <w:t>(Cardini, 2019, 2023; Zelditch &amp; Swiderski, 2023)</w:t>
      </w:r>
      <w:bookmarkEnd w:id="51"/>
      <w:r>
        <w:rPr/>
        <w: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t>
      </w:r>
      <w:bookmarkStart w:id="52" w:name="ZOTERO_BREF_8JJFafQNgahK"/>
      <w:r>
        <w:rPr/>
        <w:t>(Cardini, 2019)</w:t>
      </w:r>
      <w:bookmarkEnd w:id="52"/>
      <w:r>
        <w:rPr/>
        <w:t>, and the loss of spatial and size relationships between modules explains that Z</w:t>
      </w:r>
      <w:r>
        <w:rPr>
          <w:vertAlign w:val="subscript"/>
        </w:rPr>
        <w:t>CR</w:t>
      </w:r>
      <w:r>
        <w:rP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t>
      </w:r>
      <w:bookmarkStart w:id="53" w:name="ZOTERO_BREF_6nuP9c2X3iMo"/>
      <w:r>
        <w:rPr/>
        <w:t>(Zelditch &amp; Swiderski, 2023)</w:t>
      </w:r>
      <w:bookmarkEnd w:id="53"/>
      <w:r>
        <w:rP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pPr>
        <w:pStyle w:val="Normal"/>
        <w:jc w:val="both"/>
        <w:rPr/>
      </w:pPr>
      <w:r>
        <w:rPr>
          <w:i/>
          <w:iCs/>
        </w:rPr>
        <w:t>Relationship between bite force performance and asymmetry</w:t>
      </w:r>
      <w:r>
        <w:rPr/>
        <w:t>.</w:t>
      </w:r>
    </w:p>
    <w:p>
      <w:pPr>
        <w:pStyle w:val="Normal"/>
        <w:jc w:val="both"/>
        <w:rPr/>
      </w:pPr>
      <w:r>
        <w:rP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rPr/>
        <w:t xml:space="preserve">, which appears in accordance with the fact that iDA and iTA are indeed under selection, with values matching those for other selected characters reviewed by </w:t>
      </w:r>
      <w:bookmarkStart w:id="54" w:name="ZOTERO_BREF_OpQL5eAzXmdr"/>
      <w:r>
        <w:rPr/>
        <w:t>(Hansen et al., 2006)</w:t>
      </w:r>
      <w:bookmarkEnd w:id="54"/>
      <w:r>
        <w:rP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rPr/>
        <w:t xml:space="preserve"> is higher for bite force than for iTA of iDA.</w:t>
      </w:r>
    </w:p>
    <w:p>
      <w:pPr>
        <w:pStyle w:val="Normal"/>
        <w:jc w:val="both"/>
        <w:rPr>
          <w:i/>
          <w:i/>
          <w:iCs/>
          <w:lang w:val="en-US"/>
        </w:rPr>
      </w:pPr>
      <w:r>
        <w:rPr>
          <w:rFonts w:cs="Calibri"/>
          <w:i/>
          <w:iCs/>
          <w:lang w:val="en-US"/>
        </w:rPr>
        <w:t>Conclusion and perspectives</w:t>
      </w:r>
      <w:r>
        <w:rPr>
          <w:rFonts w:cs="Calibri"/>
          <w:lang w:val="en-US"/>
        </w:rPr>
        <w:t>.</w:t>
      </w:r>
    </w:p>
    <w:p>
      <w:pPr>
        <w:pStyle w:val="Normal"/>
        <w:jc w:val="both"/>
        <w:rPr/>
      </w:pPr>
      <w:r>
        <w:rPr>
          <w:rFonts w:cs="Calibri"/>
          <w:lang w:val="en-US"/>
        </w:rPr>
        <w:t xml:space="preserve">Modularity is often referred to as a mechanism which allows phenotypic diversification by allowing different anatomical parts to evolve in relative independence </w:t>
      </w:r>
      <w:bookmarkStart w:id="55" w:name="ZOTERO_BREF_fNMP0XcL0IAR"/>
      <w:r>
        <w:rPr>
          <w:rFonts w:cs="Calibri"/>
          <w:lang w:val="en-US"/>
        </w:rPr>
        <w:t>(Hansen, 2003; Zelditch &amp; Goswami, 2021)</w:t>
      </w:r>
      <w:bookmarkEnd w:id="55"/>
      <w:r>
        <w:rPr/>
        <w:t xml:space="preserve">. Our results constitute some of the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56" w:name="ZOTERO_BREF_lnt6l2WUGdp6"/>
      <w:r>
        <w:rPr>
          <w:rFonts w:cs="Calibri"/>
        </w:rPr>
        <w:t>(Churchill et al., 2019)</w:t>
      </w:r>
      <w:bookmarkEnd w:id="56"/>
      <w:r>
        <w:rPr>
          <w:rFonts w:cs="Calibri"/>
          <w:lang w:val="en-US"/>
        </w:rPr>
        <w:t>, but never tested using separate left-right modules</w:t>
      </w:r>
      <w:r>
        <w:rPr/>
        <w:t>.</w:t>
      </w:r>
      <w:r>
        <w:rPr>
          <w:lang w:val="en-US"/>
        </w:rPr>
        <w:t xml:space="preserve"> Interestingly, one study also reported an asymmetric modular pattern</w:t>
      </w:r>
      <w:r>
        <w:rPr/>
        <w:t xml:space="preserve"> </w:t>
      </w:r>
      <w:r>
        <w:rPr>
          <w:lang w:val="en-US"/>
        </w:rPr>
        <w:t xml:space="preserve">in the context of hybridization </w:t>
      </w:r>
      <w:bookmarkStart w:id="57" w:name="ZOTERO_BREF_JqTV4awXSRai"/>
      <w:r>
        <w:rPr>
          <w:rFonts w:cs="Calibri"/>
        </w:rPr>
        <w:t>(Parr et al., 2016)</w:t>
      </w:r>
      <w:bookmarkEnd w:id="57"/>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58" w:name="ZOTERO_BREF_YlZm9QtxawrT"/>
      <w:r>
        <w:rPr>
          <w:rFonts w:cs="Calibri"/>
        </w:rPr>
        <w:t>(Palmer, 1996, 2004)</w:t>
      </w:r>
      <w:bookmarkEnd w:id="58"/>
      <w:r>
        <w:rPr>
          <w:rFonts w:cs="Calibri"/>
          <w:lang w:val="en-US"/>
        </w:rPr>
        <w:t xml:space="preserve"> as another avenue for appearance of conspicuous asymmetry, which would not necessarily require modularity.</w:t>
      </w:r>
    </w:p>
    <w:p>
      <w:pPr>
        <w:pStyle w:val="Normal"/>
        <w:jc w:val="both"/>
        <w:rPr>
          <w:i/>
          <w:i/>
          <w:iCs/>
          <w:lang w:val="en-US"/>
        </w:rPr>
      </w:pPr>
      <w:r>
        <w:rPr/>
        <w:t xml:space="preserve">It is our opinion that exploring </w:t>
      </w:r>
      <w:r>
        <w:rPr>
          <w:lang w:val="en-US"/>
        </w:rPr>
        <w:t>the</w:t>
      </w:r>
      <w:r>
        <w:rPr/>
        <w:t xml:space="preserve"> link </w:t>
      </w:r>
      <w:r>
        <w:rPr>
          <w:lang w:val="en-US"/>
        </w:rPr>
        <w:t xml:space="preserve">between conspicuous asymmetry and modularity </w:t>
      </w:r>
      <w:r>
        <w:rP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rPr/>
        <w:t xml:space="preserve"> locally, while maintaining overall symmetry seems like a major, yet underexplored, aspect of phenotypic diversification</w:t>
      </w:r>
      <w:r>
        <w:rPr>
          <w:lang w:val="en-US"/>
        </w:rPr>
        <w:t xml:space="preserve"> </w:t>
      </w:r>
      <w:bookmarkStart w:id="59" w:name="ZOTERO_BREF_xAXZTU3NLFdd"/>
      <w:r>
        <w:rPr>
          <w:rFonts w:cs="Calibri"/>
        </w:rPr>
        <w:t>(Palmer, 1996)</w:t>
      </w:r>
      <w:bookmarkEnd w:id="59"/>
      <w:r>
        <w:rPr/>
        <w:t>. Second, conspicuous asymmetries, which constitute a kind of "internal" diversification of homologous structures, would be a good model to test the idea that modularity is key in phenotypic diversification. This could be tested in at least three complementary ways: (i)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serially homologous structures, some of which are conspicuously asymmetric while others not (e.g. arthropod appendages), with the expectation that the asymmetrical structures would have stronger left-right modularity compared to their symmetrical serial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pPr>
        <w:pStyle w:val="Normal"/>
        <w:jc w:val="both"/>
        <w:rPr>
          <w:b/>
          <w:b/>
          <w:bCs/>
        </w:rPr>
      </w:pPr>
      <w:r>
        <w:rPr>
          <w:b/>
          <w:bCs/>
        </w:rPr>
        <w:t>Figure legends</w:t>
      </w:r>
    </w:p>
    <w:p>
      <w:pPr>
        <w:pStyle w:val="Normal"/>
        <w:jc w:val="both"/>
        <w:rPr>
          <w:b/>
          <w:b/>
          <w:bCs/>
        </w:rPr>
      </w:pPr>
      <w:r>
        <w:rPr>
          <w:b/>
          <w:bCs/>
        </w:rPr>
        <w:t xml:space="preserve">Figure 1. </w:t>
      </w:r>
      <w:r>
        <w:rPr/>
        <w:t>A.-B., G.-I.</w:t>
      </w:r>
      <w:r>
        <w:rPr>
          <w:b/>
          <w:bCs/>
        </w:rPr>
        <w:t xml:space="preserve"> </w:t>
      </w:r>
      <w:r>
        <w:rP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pPr>
        <w:pStyle w:val="Normal"/>
        <w:jc w:val="both"/>
        <w:rPr>
          <w:b/>
          <w:b/>
          <w:bCs/>
        </w:rPr>
      </w:pPr>
      <w:r>
        <w:rPr>
          <w:b/>
          <w:bCs/>
        </w:rPr>
        <w:t>Figure 2.</w:t>
      </w:r>
      <w:r>
        <w:rP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pPr>
        <w:pStyle w:val="Normal"/>
        <w:jc w:val="both"/>
        <w:rPr>
          <w:b/>
          <w:b/>
          <w:bCs/>
        </w:rPr>
      </w:pPr>
      <w:r>
        <w:rPr>
          <w:b/>
          <w:bCs/>
        </w:rPr>
        <w:t xml:space="preserve">Figure 3. </w:t>
      </w:r>
      <w:r>
        <w:rP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pPr>
        <w:pStyle w:val="Normal"/>
        <w:jc w:val="both"/>
        <w:rPr>
          <w:b/>
          <w:b/>
          <w:bCs/>
        </w:rPr>
      </w:pPr>
      <w:r>
        <w:rPr>
          <w:b/>
          <w:bCs/>
        </w:rPr>
        <w:t>Figure 4.</w:t>
      </w:r>
      <w:r>
        <w:rP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eastAsia="utkal" w:cs="utkal" w:ascii="utkal" w:hAnsi="utkal"/>
        </w:rPr>
        <w:t>≤</w:t>
      </w:r>
      <w:r>
        <w:rPr>
          <w:rFonts w:eastAsia="Calibri"/>
        </w:rPr>
        <w:t>1% of total asymmetric variation. Note the apparent correlation between the two axes.</w:t>
      </w:r>
    </w:p>
    <w:p>
      <w:pPr>
        <w:pStyle w:val="Normal"/>
        <w:jc w:val="both"/>
        <w:rPr>
          <w:b/>
          <w:b/>
          <w:bCs/>
        </w:rPr>
      </w:pPr>
      <w:r>
        <w:rPr>
          <w:rFonts w:eastAsia="Calibri"/>
          <w:b/>
          <w:bCs/>
        </w:rPr>
        <w:t>Figure 5.</w:t>
      </w:r>
      <w:r>
        <w:rPr>
          <w:rFonts w:eastAsia="Calibri"/>
        </w:rPr>
        <w:t xml:space="preserve"> Barplot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pPr>
        <w:pStyle w:val="Normal"/>
        <w:jc w:val="both"/>
        <w:rPr>
          <w:b/>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pPr>
        <w:pStyle w:val="Normal"/>
        <w:jc w:val="both"/>
        <w:rPr>
          <w:b/>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pPr>
        <w:pStyle w:val="Normal"/>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Look w:val="04a0" w:noHBand="0" w:noVBand="1" w:firstColumn="1" w:lastRow="0" w:lastColumn="0" w:firstRow="1"/>
      </w:tblPr>
      <w:tblGrid>
        <w:gridCol w:w="1078"/>
        <w:gridCol w:w="676"/>
        <w:gridCol w:w="1143"/>
        <w:gridCol w:w="1184"/>
        <w:gridCol w:w="1138"/>
        <w:gridCol w:w="1414"/>
        <w:gridCol w:w="1199"/>
        <w:gridCol w:w="1062"/>
      </w:tblGrid>
      <w:tr>
        <w:trPr>
          <w:trHeight w:val="256" w:hRule="atLeast"/>
        </w:trPr>
        <w:tc>
          <w:tcPr>
            <w:tcW w:w="1078" w:type="dxa"/>
            <w:tcBorders/>
            <w:vAlign w:val="center"/>
          </w:tcPr>
          <w:p>
            <w:pPr>
              <w:pStyle w:val="Normal"/>
              <w:widowControl w:val="false"/>
              <w:spacing w:before="0" w:after="160"/>
              <w:jc w:val="center"/>
              <w:rPr/>
            </w:pPr>
            <w:r>
              <w:rPr/>
            </w:r>
          </w:p>
        </w:tc>
        <w:tc>
          <w:tcPr>
            <w:tcW w:w="676" w:type="dxa"/>
            <w:tcBorders/>
            <w:vAlign w:val="center"/>
          </w:tcPr>
          <w:p>
            <w:pPr>
              <w:pStyle w:val="Normal"/>
              <w:widowControl w:val="false"/>
              <w:spacing w:before="0" w:after="160"/>
              <w:jc w:val="center"/>
              <w:rPr/>
            </w:pPr>
            <w:r>
              <w:rPr/>
              <w:t>Df</w:t>
            </w:r>
          </w:p>
        </w:tc>
        <w:tc>
          <w:tcPr>
            <w:tcW w:w="1143" w:type="dxa"/>
            <w:tcBorders/>
            <w:vAlign w:val="center"/>
          </w:tcPr>
          <w:p>
            <w:pPr>
              <w:pStyle w:val="Normal"/>
              <w:widowControl w:val="false"/>
              <w:spacing w:before="0" w:after="160"/>
              <w:jc w:val="center"/>
              <w:rPr/>
            </w:pPr>
            <w:r>
              <w:rPr/>
              <w:t>SS</w:t>
            </w:r>
          </w:p>
        </w:tc>
        <w:tc>
          <w:tcPr>
            <w:tcW w:w="1184" w:type="dxa"/>
            <w:tcBorders/>
            <w:vAlign w:val="center"/>
          </w:tcPr>
          <w:p>
            <w:pPr>
              <w:pStyle w:val="Normal"/>
              <w:widowControl w:val="false"/>
              <w:spacing w:before="0" w:after="160"/>
              <w:jc w:val="center"/>
              <w:rPr/>
            </w:pPr>
            <w:r>
              <w:rPr/>
              <w:t>MS</w:t>
            </w:r>
          </w:p>
        </w:tc>
        <w:tc>
          <w:tcPr>
            <w:tcW w:w="1138" w:type="dxa"/>
            <w:tcBorders/>
            <w:vAlign w:val="center"/>
          </w:tcPr>
          <w:p>
            <w:pPr>
              <w:pStyle w:val="Normal"/>
              <w:widowControl w:val="false"/>
              <w:spacing w:before="0" w:after="160"/>
              <w:jc w:val="center"/>
              <w:rPr/>
            </w:pPr>
            <w:r>
              <w:rPr/>
              <w:t>Rsq</w:t>
            </w:r>
          </w:p>
        </w:tc>
        <w:tc>
          <w:tcPr>
            <w:tcW w:w="1414" w:type="dxa"/>
            <w:tcBorders/>
            <w:vAlign w:val="center"/>
          </w:tcPr>
          <w:p>
            <w:pPr>
              <w:pStyle w:val="Normal"/>
              <w:widowControl w:val="false"/>
              <w:spacing w:before="0" w:after="160"/>
              <w:jc w:val="center"/>
              <w:rPr/>
            </w:pPr>
            <w:r>
              <w:rPr/>
              <w:t>F</w:t>
            </w:r>
          </w:p>
        </w:tc>
        <w:tc>
          <w:tcPr>
            <w:tcW w:w="1199" w:type="dxa"/>
            <w:tcBorders/>
            <w:vAlign w:val="center"/>
          </w:tcPr>
          <w:p>
            <w:pPr>
              <w:pStyle w:val="Normal"/>
              <w:widowControl w:val="false"/>
              <w:spacing w:before="0" w:after="160"/>
              <w:jc w:val="center"/>
              <w:rPr/>
            </w:pPr>
            <w:r>
              <w:rPr/>
              <w:t>Z</w:t>
            </w:r>
          </w:p>
        </w:tc>
        <w:tc>
          <w:tcPr>
            <w:tcW w:w="1062" w:type="dxa"/>
            <w:tcBorders/>
            <w:vAlign w:val="center"/>
          </w:tcPr>
          <w:p>
            <w:pPr>
              <w:pStyle w:val="Normal"/>
              <w:widowControl w:val="false"/>
              <w:spacing w:before="0" w:after="160"/>
              <w:jc w:val="center"/>
              <w:rPr/>
            </w:pPr>
            <w:r>
              <w:rPr/>
              <w:t>Pr..F.</w:t>
            </w:r>
          </w:p>
        </w:tc>
      </w:tr>
      <w:tr>
        <w:trPr>
          <w:trHeight w:val="256" w:hRule="atLeast"/>
        </w:trPr>
        <w:tc>
          <w:tcPr>
            <w:tcW w:w="1078" w:type="dxa"/>
            <w:tcBorders/>
            <w:vAlign w:val="center"/>
          </w:tcPr>
          <w:p>
            <w:pPr>
              <w:pStyle w:val="Normal"/>
              <w:widowControl w:val="false"/>
              <w:spacing w:before="0" w:after="160"/>
              <w:jc w:val="center"/>
              <w:rPr/>
            </w:pPr>
            <w:r>
              <w:rPr/>
              <w:t>ind</w:t>
            </w:r>
          </w:p>
        </w:tc>
        <w:tc>
          <w:tcPr>
            <w:tcW w:w="676" w:type="dxa"/>
            <w:tcBorders/>
            <w:vAlign w:val="center"/>
          </w:tcPr>
          <w:p>
            <w:pPr>
              <w:pStyle w:val="Normal"/>
              <w:widowControl w:val="false"/>
              <w:spacing w:before="0" w:after="160"/>
              <w:jc w:val="center"/>
              <w:rPr/>
            </w:pPr>
            <w:r>
              <w:rPr/>
              <w:t>48</w:t>
            </w:r>
          </w:p>
        </w:tc>
        <w:tc>
          <w:tcPr>
            <w:tcW w:w="1143" w:type="dxa"/>
            <w:tcBorders/>
            <w:vAlign w:val="center"/>
          </w:tcPr>
          <w:p>
            <w:pPr>
              <w:pStyle w:val="Normal"/>
              <w:widowControl w:val="false"/>
              <w:spacing w:before="0" w:after="160"/>
              <w:jc w:val="center"/>
              <w:rPr/>
            </w:pPr>
            <w:r>
              <w:rPr/>
              <w:t>0.14689</w:t>
            </w:r>
          </w:p>
        </w:tc>
        <w:tc>
          <w:tcPr>
            <w:tcW w:w="1184" w:type="dxa"/>
            <w:tcBorders/>
            <w:vAlign w:val="center"/>
          </w:tcPr>
          <w:p>
            <w:pPr>
              <w:pStyle w:val="Normal"/>
              <w:widowControl w:val="false"/>
              <w:spacing w:before="0" w:after="160"/>
              <w:jc w:val="center"/>
              <w:rPr/>
            </w:pPr>
            <w:r>
              <w:rPr/>
              <w:t>0.00306</w:t>
            </w:r>
          </w:p>
        </w:tc>
        <w:tc>
          <w:tcPr>
            <w:tcW w:w="1138" w:type="dxa"/>
            <w:tcBorders/>
            <w:vAlign w:val="center"/>
          </w:tcPr>
          <w:p>
            <w:pPr>
              <w:pStyle w:val="Normal"/>
              <w:widowControl w:val="false"/>
              <w:spacing w:before="0" w:after="160"/>
              <w:jc w:val="center"/>
              <w:rPr/>
            </w:pPr>
            <w:r>
              <w:rPr/>
              <w:t>0.24838</w:t>
            </w:r>
          </w:p>
        </w:tc>
        <w:tc>
          <w:tcPr>
            <w:tcW w:w="1414" w:type="dxa"/>
            <w:tcBorders/>
            <w:vAlign w:val="center"/>
          </w:tcPr>
          <w:p>
            <w:pPr>
              <w:pStyle w:val="Normal"/>
              <w:widowControl w:val="false"/>
              <w:spacing w:before="0" w:after="160"/>
              <w:jc w:val="center"/>
              <w:rPr/>
            </w:pPr>
            <w:r>
              <w:rPr/>
              <w:t>2.6422</w:t>
            </w:r>
          </w:p>
        </w:tc>
        <w:tc>
          <w:tcPr>
            <w:tcW w:w="1199" w:type="dxa"/>
            <w:tcBorders/>
            <w:vAlign w:val="center"/>
          </w:tcPr>
          <w:p>
            <w:pPr>
              <w:pStyle w:val="Normal"/>
              <w:widowControl w:val="false"/>
              <w:spacing w:before="0" w:after="160"/>
              <w:jc w:val="center"/>
              <w:rPr/>
            </w:pPr>
            <w:r>
              <w:rPr/>
              <w:t>-7.25098</w:t>
            </w:r>
          </w:p>
        </w:tc>
        <w:tc>
          <w:tcPr>
            <w:tcW w:w="1062" w:type="dxa"/>
            <w:tcBorders/>
            <w:vAlign w:val="center"/>
          </w:tcPr>
          <w:p>
            <w:pPr>
              <w:pStyle w:val="Normal"/>
              <w:widowControl w:val="false"/>
              <w:spacing w:before="0" w:after="160"/>
              <w:jc w:val="center"/>
              <w:rPr/>
            </w:pPr>
            <w:r>
              <w:rPr/>
              <w:t>1</w:t>
            </w:r>
          </w:p>
        </w:tc>
      </w:tr>
      <w:tr>
        <w:trPr>
          <w:trHeight w:val="256" w:hRule="atLeast"/>
        </w:trPr>
        <w:tc>
          <w:tcPr>
            <w:tcW w:w="1078" w:type="dxa"/>
            <w:tcBorders/>
            <w:vAlign w:val="center"/>
          </w:tcPr>
          <w:p>
            <w:pPr>
              <w:pStyle w:val="Normal"/>
              <w:widowControl w:val="false"/>
              <w:spacing w:before="0" w:after="160"/>
              <w:jc w:val="center"/>
              <w:rPr/>
            </w:pPr>
            <w:r>
              <w:rPr/>
              <w:t>side</w:t>
            </w:r>
          </w:p>
        </w:tc>
        <w:tc>
          <w:tcPr>
            <w:tcW w:w="676" w:type="dxa"/>
            <w:tcBorders/>
            <w:vAlign w:val="center"/>
          </w:tcPr>
          <w:p>
            <w:pPr>
              <w:pStyle w:val="Normal"/>
              <w:widowControl w:val="false"/>
              <w:spacing w:before="0" w:after="160"/>
              <w:jc w:val="center"/>
              <w:rPr/>
            </w:pPr>
            <w:r>
              <w:rPr/>
              <w:t>1</w:t>
            </w:r>
          </w:p>
        </w:tc>
        <w:tc>
          <w:tcPr>
            <w:tcW w:w="1143" w:type="dxa"/>
            <w:tcBorders/>
            <w:vAlign w:val="center"/>
          </w:tcPr>
          <w:p>
            <w:pPr>
              <w:pStyle w:val="Normal"/>
              <w:widowControl w:val="false"/>
              <w:spacing w:before="0" w:after="160"/>
              <w:jc w:val="center"/>
              <w:rPr/>
            </w:pPr>
            <w:r>
              <w:rPr/>
              <w:t>0.3648</w:t>
            </w:r>
          </w:p>
        </w:tc>
        <w:tc>
          <w:tcPr>
            <w:tcW w:w="1184" w:type="dxa"/>
            <w:tcBorders/>
            <w:vAlign w:val="center"/>
          </w:tcPr>
          <w:p>
            <w:pPr>
              <w:pStyle w:val="Normal"/>
              <w:widowControl w:val="false"/>
              <w:spacing w:before="0" w:after="160"/>
              <w:jc w:val="center"/>
              <w:rPr/>
            </w:pPr>
            <w:r>
              <w:rPr/>
              <w:t>0.3648</w:t>
            </w:r>
          </w:p>
        </w:tc>
        <w:tc>
          <w:tcPr>
            <w:tcW w:w="1138" w:type="dxa"/>
            <w:tcBorders/>
            <w:vAlign w:val="center"/>
          </w:tcPr>
          <w:p>
            <w:pPr>
              <w:pStyle w:val="Normal"/>
              <w:widowControl w:val="false"/>
              <w:spacing w:before="0" w:after="160"/>
              <w:jc w:val="center"/>
              <w:rPr/>
            </w:pPr>
            <w:r>
              <w:rPr/>
              <w:t>0.61686</w:t>
            </w:r>
          </w:p>
        </w:tc>
        <w:tc>
          <w:tcPr>
            <w:tcW w:w="1414" w:type="dxa"/>
            <w:tcBorders/>
            <w:vAlign w:val="center"/>
          </w:tcPr>
          <w:p>
            <w:pPr>
              <w:pStyle w:val="Normal"/>
              <w:widowControl w:val="false"/>
              <w:spacing w:before="0" w:after="160"/>
              <w:jc w:val="center"/>
              <w:rPr/>
            </w:pPr>
            <w:r>
              <w:rPr/>
              <w:t>314.97456</w:t>
            </w:r>
          </w:p>
        </w:tc>
        <w:tc>
          <w:tcPr>
            <w:tcW w:w="1199" w:type="dxa"/>
            <w:tcBorders/>
            <w:vAlign w:val="center"/>
          </w:tcPr>
          <w:p>
            <w:pPr>
              <w:pStyle w:val="Normal"/>
              <w:widowControl w:val="false"/>
              <w:spacing w:before="0" w:after="160"/>
              <w:jc w:val="center"/>
              <w:rPr/>
            </w:pPr>
            <w:r>
              <w:rPr/>
              <w:t>3.36624</w:t>
            </w:r>
          </w:p>
        </w:tc>
        <w:tc>
          <w:tcPr>
            <w:tcW w:w="1062" w:type="dxa"/>
            <w:tcBorders/>
            <w:vAlign w:val="center"/>
          </w:tcPr>
          <w:p>
            <w:pPr>
              <w:pStyle w:val="Normal"/>
              <w:widowControl w:val="false"/>
              <w:spacing w:before="0" w:after="160"/>
              <w:jc w:val="center"/>
              <w:rPr/>
            </w:pPr>
            <w:r>
              <w:rPr/>
              <w:t>0.001</w:t>
            </w:r>
          </w:p>
        </w:tc>
      </w:tr>
      <w:tr>
        <w:trPr>
          <w:trHeight w:val="256" w:hRule="atLeast"/>
        </w:trPr>
        <w:tc>
          <w:tcPr>
            <w:tcW w:w="1078" w:type="dxa"/>
            <w:tcBorders/>
            <w:vAlign w:val="center"/>
          </w:tcPr>
          <w:p>
            <w:pPr>
              <w:pStyle w:val="Normal"/>
              <w:widowControl w:val="false"/>
              <w:spacing w:before="0" w:after="160"/>
              <w:jc w:val="center"/>
              <w:rPr/>
            </w:pPr>
            <w:r>
              <w:rPr/>
              <w:t>ind:side</w:t>
            </w:r>
          </w:p>
        </w:tc>
        <w:tc>
          <w:tcPr>
            <w:tcW w:w="676" w:type="dxa"/>
            <w:tcBorders/>
            <w:vAlign w:val="center"/>
          </w:tcPr>
          <w:p>
            <w:pPr>
              <w:pStyle w:val="Normal"/>
              <w:widowControl w:val="false"/>
              <w:spacing w:before="0" w:after="160"/>
              <w:jc w:val="center"/>
              <w:rPr/>
            </w:pPr>
            <w:r>
              <w:rPr/>
              <w:t>48</w:t>
            </w:r>
          </w:p>
        </w:tc>
        <w:tc>
          <w:tcPr>
            <w:tcW w:w="1143" w:type="dxa"/>
            <w:tcBorders/>
            <w:vAlign w:val="center"/>
          </w:tcPr>
          <w:p>
            <w:pPr>
              <w:pStyle w:val="Normal"/>
              <w:widowControl w:val="false"/>
              <w:spacing w:before="0" w:after="160"/>
              <w:jc w:val="center"/>
              <w:rPr/>
            </w:pPr>
            <w:r>
              <w:rPr/>
              <w:t>0.05559</w:t>
            </w:r>
          </w:p>
        </w:tc>
        <w:tc>
          <w:tcPr>
            <w:tcW w:w="1184" w:type="dxa"/>
            <w:tcBorders/>
            <w:vAlign w:val="center"/>
          </w:tcPr>
          <w:p>
            <w:pPr>
              <w:pStyle w:val="Normal"/>
              <w:widowControl w:val="false"/>
              <w:spacing w:before="0" w:after="160"/>
              <w:jc w:val="center"/>
              <w:rPr/>
            </w:pPr>
            <w:r>
              <w:rPr/>
              <w:t>0.00116</w:t>
            </w:r>
          </w:p>
        </w:tc>
        <w:tc>
          <w:tcPr>
            <w:tcW w:w="1138" w:type="dxa"/>
            <w:tcBorders/>
            <w:vAlign w:val="center"/>
          </w:tcPr>
          <w:p>
            <w:pPr>
              <w:pStyle w:val="Normal"/>
              <w:widowControl w:val="false"/>
              <w:spacing w:before="0" w:after="160"/>
              <w:jc w:val="center"/>
              <w:rPr/>
            </w:pPr>
            <w:r>
              <w:rPr/>
              <w:t>0.09401</w:t>
            </w:r>
          </w:p>
        </w:tc>
        <w:tc>
          <w:tcPr>
            <w:tcW w:w="1414" w:type="dxa"/>
            <w:tcBorders/>
            <w:vAlign w:val="center"/>
          </w:tcPr>
          <w:p>
            <w:pPr>
              <w:pStyle w:val="Normal"/>
              <w:widowControl w:val="false"/>
              <w:spacing w:before="0" w:after="160"/>
              <w:jc w:val="center"/>
              <w:rPr/>
            </w:pPr>
            <w:r>
              <w:rPr/>
              <w:t>4.70964</w:t>
            </w:r>
          </w:p>
        </w:tc>
        <w:tc>
          <w:tcPr>
            <w:tcW w:w="1199" w:type="dxa"/>
            <w:tcBorders/>
            <w:vAlign w:val="center"/>
          </w:tcPr>
          <w:p>
            <w:pPr>
              <w:pStyle w:val="Normal"/>
              <w:widowControl w:val="false"/>
              <w:spacing w:before="0" w:after="160"/>
              <w:jc w:val="center"/>
              <w:rPr/>
            </w:pPr>
            <w:r>
              <w:rPr/>
              <w:t>14.47838</w:t>
            </w:r>
          </w:p>
        </w:tc>
        <w:tc>
          <w:tcPr>
            <w:tcW w:w="1062" w:type="dxa"/>
            <w:tcBorders/>
            <w:vAlign w:val="center"/>
          </w:tcPr>
          <w:p>
            <w:pPr>
              <w:pStyle w:val="Normal"/>
              <w:widowControl w:val="false"/>
              <w:spacing w:before="0" w:after="160"/>
              <w:jc w:val="center"/>
              <w:rPr/>
            </w:pPr>
            <w:r>
              <w:rPr/>
              <w:t>0.001</w:t>
            </w:r>
          </w:p>
        </w:tc>
      </w:tr>
      <w:tr>
        <w:trPr>
          <w:trHeight w:val="256" w:hRule="atLeast"/>
        </w:trPr>
        <w:tc>
          <w:tcPr>
            <w:tcW w:w="1078" w:type="dxa"/>
            <w:tcBorders/>
            <w:vAlign w:val="center"/>
          </w:tcPr>
          <w:p>
            <w:pPr>
              <w:pStyle w:val="Normal"/>
              <w:widowControl w:val="false"/>
              <w:spacing w:before="0" w:after="160"/>
              <w:jc w:val="center"/>
              <w:rPr/>
            </w:pPr>
            <w:r>
              <w:rPr/>
              <w:t>ind:side:replicate</w:t>
            </w:r>
          </w:p>
        </w:tc>
        <w:tc>
          <w:tcPr>
            <w:tcW w:w="676" w:type="dxa"/>
            <w:tcBorders/>
            <w:vAlign w:val="center"/>
          </w:tcPr>
          <w:p>
            <w:pPr>
              <w:pStyle w:val="Normal"/>
              <w:widowControl w:val="false"/>
              <w:spacing w:before="0" w:after="160"/>
              <w:jc w:val="center"/>
              <w:rPr/>
            </w:pPr>
            <w:r>
              <w:rPr/>
              <w:t>98</w:t>
            </w:r>
          </w:p>
        </w:tc>
        <w:tc>
          <w:tcPr>
            <w:tcW w:w="1143" w:type="dxa"/>
            <w:tcBorders/>
            <w:vAlign w:val="center"/>
          </w:tcPr>
          <w:p>
            <w:pPr>
              <w:pStyle w:val="Normal"/>
              <w:widowControl w:val="false"/>
              <w:spacing w:before="0" w:after="160"/>
              <w:jc w:val="center"/>
              <w:rPr/>
            </w:pPr>
            <w:r>
              <w:rPr/>
              <w:t>0.0241</w:t>
            </w:r>
          </w:p>
        </w:tc>
        <w:tc>
          <w:tcPr>
            <w:tcW w:w="1184" w:type="dxa"/>
            <w:tcBorders/>
            <w:vAlign w:val="center"/>
          </w:tcPr>
          <w:p>
            <w:pPr>
              <w:pStyle w:val="Normal"/>
              <w:widowControl w:val="false"/>
              <w:spacing w:before="0" w:after="160"/>
              <w:jc w:val="center"/>
              <w:rPr/>
            </w:pPr>
            <w:r>
              <w:rPr/>
              <w:t>0.00025</w:t>
            </w:r>
          </w:p>
        </w:tc>
        <w:tc>
          <w:tcPr>
            <w:tcW w:w="1138" w:type="dxa"/>
            <w:tcBorders/>
            <w:vAlign w:val="center"/>
          </w:tcPr>
          <w:p>
            <w:pPr>
              <w:pStyle w:val="Normal"/>
              <w:widowControl w:val="false"/>
              <w:spacing w:before="0" w:after="160"/>
              <w:jc w:val="center"/>
              <w:rPr/>
            </w:pPr>
            <w:r>
              <w:rPr/>
              <w:t>0.04075</w:t>
            </w:r>
          </w:p>
        </w:tc>
        <w:tc>
          <w:tcPr>
            <w:tcW w:w="1414" w:type="dxa"/>
            <w:tcBorders/>
            <w:vAlign w:val="center"/>
          </w:tcPr>
          <w:p>
            <w:pPr>
              <w:pStyle w:val="Normal"/>
              <w:widowControl w:val="false"/>
              <w:spacing w:before="0" w:after="160"/>
              <w:jc w:val="center"/>
              <w:rPr/>
            </w:pPr>
            <w:r>
              <w:rPr/>
            </w:r>
          </w:p>
        </w:tc>
        <w:tc>
          <w:tcPr>
            <w:tcW w:w="1199" w:type="dxa"/>
            <w:tcBorders/>
            <w:vAlign w:val="center"/>
          </w:tcPr>
          <w:p>
            <w:pPr>
              <w:pStyle w:val="Normal"/>
              <w:widowControl w:val="false"/>
              <w:spacing w:before="0" w:after="160"/>
              <w:jc w:val="center"/>
              <w:rPr/>
            </w:pPr>
            <w:r>
              <w:rPr/>
            </w:r>
          </w:p>
        </w:tc>
        <w:tc>
          <w:tcPr>
            <w:tcW w:w="1062" w:type="dxa"/>
            <w:tcBorders/>
            <w:vAlign w:val="center"/>
          </w:tcPr>
          <w:p>
            <w:pPr>
              <w:pStyle w:val="Normal"/>
              <w:widowControl w:val="false"/>
              <w:spacing w:before="0" w:after="160"/>
              <w:jc w:val="center"/>
              <w:rPr/>
            </w:pPr>
            <w:r>
              <w:rPr/>
            </w:r>
          </w:p>
        </w:tc>
      </w:tr>
      <w:tr>
        <w:trPr>
          <w:trHeight w:val="256" w:hRule="atLeast"/>
        </w:trPr>
        <w:tc>
          <w:tcPr>
            <w:tcW w:w="1078" w:type="dxa"/>
            <w:tcBorders/>
            <w:vAlign w:val="center"/>
          </w:tcPr>
          <w:p>
            <w:pPr>
              <w:pStyle w:val="Normal"/>
              <w:widowControl w:val="false"/>
              <w:spacing w:before="0" w:after="160"/>
              <w:jc w:val="center"/>
              <w:rPr/>
            </w:pPr>
            <w:r>
              <w:rPr/>
              <w:t>Total</w:t>
            </w:r>
          </w:p>
        </w:tc>
        <w:tc>
          <w:tcPr>
            <w:tcW w:w="676" w:type="dxa"/>
            <w:tcBorders/>
            <w:vAlign w:val="center"/>
          </w:tcPr>
          <w:p>
            <w:pPr>
              <w:pStyle w:val="Normal"/>
              <w:widowControl w:val="false"/>
              <w:spacing w:before="0" w:after="160"/>
              <w:jc w:val="center"/>
              <w:rPr/>
            </w:pPr>
            <w:r>
              <w:rPr/>
              <w:t>195</w:t>
            </w:r>
          </w:p>
        </w:tc>
        <w:tc>
          <w:tcPr>
            <w:tcW w:w="1143" w:type="dxa"/>
            <w:tcBorders/>
            <w:vAlign w:val="center"/>
          </w:tcPr>
          <w:p>
            <w:pPr>
              <w:pStyle w:val="Normal"/>
              <w:widowControl w:val="false"/>
              <w:spacing w:before="0" w:after="160"/>
              <w:jc w:val="center"/>
              <w:rPr/>
            </w:pPr>
            <w:r>
              <w:rPr/>
              <w:t>0.59138</w:t>
            </w:r>
          </w:p>
        </w:tc>
        <w:tc>
          <w:tcPr>
            <w:tcW w:w="1184" w:type="dxa"/>
            <w:tcBorders/>
            <w:vAlign w:val="center"/>
          </w:tcPr>
          <w:p>
            <w:pPr>
              <w:pStyle w:val="Normal"/>
              <w:widowControl w:val="false"/>
              <w:spacing w:before="0" w:after="160"/>
              <w:jc w:val="center"/>
              <w:rPr/>
            </w:pPr>
            <w:r>
              <w:rPr/>
            </w:r>
          </w:p>
        </w:tc>
        <w:tc>
          <w:tcPr>
            <w:tcW w:w="1138" w:type="dxa"/>
            <w:tcBorders/>
            <w:vAlign w:val="center"/>
          </w:tcPr>
          <w:p>
            <w:pPr>
              <w:pStyle w:val="Normal"/>
              <w:widowControl w:val="false"/>
              <w:spacing w:before="0" w:after="160"/>
              <w:jc w:val="center"/>
              <w:rPr/>
            </w:pPr>
            <w:r>
              <w:rPr/>
            </w:r>
          </w:p>
        </w:tc>
        <w:tc>
          <w:tcPr>
            <w:tcW w:w="1414" w:type="dxa"/>
            <w:tcBorders/>
            <w:vAlign w:val="center"/>
          </w:tcPr>
          <w:p>
            <w:pPr>
              <w:pStyle w:val="Normal"/>
              <w:widowControl w:val="false"/>
              <w:spacing w:before="0" w:after="160"/>
              <w:jc w:val="center"/>
              <w:rPr/>
            </w:pPr>
            <w:r>
              <w:rPr/>
            </w:r>
          </w:p>
        </w:tc>
        <w:tc>
          <w:tcPr>
            <w:tcW w:w="1199" w:type="dxa"/>
            <w:tcBorders/>
            <w:vAlign w:val="center"/>
          </w:tcPr>
          <w:p>
            <w:pPr>
              <w:pStyle w:val="Normal"/>
              <w:widowControl w:val="false"/>
              <w:spacing w:before="0" w:after="160"/>
              <w:jc w:val="center"/>
              <w:rPr/>
            </w:pPr>
            <w:r>
              <w:rPr/>
            </w:r>
          </w:p>
        </w:tc>
        <w:tc>
          <w:tcPr>
            <w:tcW w:w="1062" w:type="dxa"/>
            <w:tcBorders/>
            <w:vAlign w:val="center"/>
          </w:tcPr>
          <w:p>
            <w:pPr>
              <w:pStyle w:val="Normal"/>
              <w:widowControl w:val="false"/>
              <w:spacing w:before="0" w:after="160"/>
              <w:jc w:val="center"/>
              <w:rPr/>
            </w:pPr>
            <w:r>
              <w:rPr/>
            </w:r>
          </w:p>
        </w:tc>
      </w:tr>
    </w:tbl>
    <w:p>
      <w:pPr>
        <w:pStyle w:val="Normal"/>
        <w:rPr>
          <w:lang w:val="en-US"/>
        </w:rPr>
      </w:pPr>
      <w:r>
        <w:rPr>
          <w:lang w:val="en-US"/>
        </w:rPr>
      </w:r>
    </w:p>
    <w:p>
      <w:pPr>
        <w:pStyle w:val="Normal"/>
        <w:jc w:val="both"/>
        <w:rPr>
          <w:lang w:val="en-US"/>
        </w:rPr>
      </w:pPr>
      <w:r>
        <w:rPr>
          <w:lang w:val="en-US"/>
        </w:rPr>
      </w:r>
      <w:r>
        <w:br w:type="page"/>
      </w:r>
    </w:p>
    <w:p>
      <w:pPr>
        <w:pStyle w:val="Normal"/>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Look w:val="04a0" w:noHBand="0" w:noVBand="1" w:firstColumn="1" w:lastRow="0" w:lastColumn="0" w:firstRow="1"/>
      </w:tblPr>
      <w:tblGrid>
        <w:gridCol w:w="1017"/>
        <w:gridCol w:w="734"/>
        <w:gridCol w:w="905"/>
        <w:gridCol w:w="967"/>
        <w:gridCol w:w="1138"/>
        <w:gridCol w:w="1420"/>
        <w:gridCol w:w="733"/>
        <w:gridCol w:w="629"/>
        <w:gridCol w:w="1482"/>
      </w:tblGrid>
      <w:tr>
        <w:trPr>
          <w:trHeight w:val="256" w:hRule="atLeast"/>
        </w:trPr>
        <w:tc>
          <w:tcPr>
            <w:tcW w:w="1017" w:type="dxa"/>
            <w:tcBorders/>
            <w:vAlign w:val="bottom"/>
          </w:tcPr>
          <w:p>
            <w:pPr>
              <w:pStyle w:val="Normal"/>
              <w:widowControl w:val="false"/>
              <w:spacing w:before="0" w:after="160"/>
              <w:rPr>
                <w:sz w:val="16"/>
                <w:szCs w:val="16"/>
              </w:rPr>
            </w:pPr>
            <w:r>
              <w:rPr>
                <w:sz w:val="16"/>
                <w:szCs w:val="16"/>
              </w:rPr>
            </w:r>
          </w:p>
        </w:tc>
        <w:tc>
          <w:tcPr>
            <w:tcW w:w="8008" w:type="dxa"/>
            <w:gridSpan w:val="8"/>
            <w:tcBorders/>
            <w:vAlign w:val="center"/>
          </w:tcPr>
          <w:p>
            <w:pPr>
              <w:pStyle w:val="Normal"/>
              <w:widowControl w:val="false"/>
              <w:spacing w:before="0" w:after="160"/>
              <w:jc w:val="center"/>
              <w:rPr>
                <w:sz w:val="16"/>
                <w:szCs w:val="16"/>
              </w:rPr>
            </w:pPr>
            <w:r>
              <w:rPr>
                <w:b/>
                <w:sz w:val="16"/>
                <w:szCs w:val="16"/>
              </w:rPr>
              <w:t>A. Effect sizes (ZCR). Negative values represent stronger modular signal.</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734" w:type="dxa"/>
            <w:tcBorders/>
            <w:vAlign w:val="center"/>
          </w:tcPr>
          <w:p>
            <w:pPr>
              <w:pStyle w:val="Normal"/>
              <w:widowControl w:val="false"/>
              <w:spacing w:before="0" w:after="160"/>
              <w:jc w:val="center"/>
              <w:rPr>
                <w:sz w:val="16"/>
                <w:szCs w:val="16"/>
              </w:rPr>
            </w:pPr>
            <w:r>
              <w:rPr>
                <w:sz w:val="16"/>
                <w:szCs w:val="16"/>
              </w:rPr>
              <w:t>No Modules</w:t>
            </w:r>
          </w:p>
        </w:tc>
        <w:tc>
          <w:tcPr>
            <w:tcW w:w="905" w:type="dxa"/>
            <w:tcBorders/>
            <w:vAlign w:val="center"/>
          </w:tcPr>
          <w:p>
            <w:pPr>
              <w:pStyle w:val="Normal"/>
              <w:widowControl w:val="false"/>
              <w:spacing w:before="0" w:after="160"/>
              <w:jc w:val="center"/>
              <w:rPr>
                <w:sz w:val="16"/>
                <w:szCs w:val="16"/>
              </w:rPr>
            </w:pPr>
            <w:r>
              <w:rPr>
                <w:sz w:val="16"/>
                <w:szCs w:val="16"/>
              </w:rPr>
              <w:t>Head-Mandibles</w:t>
            </w:r>
          </w:p>
        </w:tc>
        <w:tc>
          <w:tcPr>
            <w:tcW w:w="967" w:type="dxa"/>
            <w:tcBorders/>
            <w:vAlign w:val="center"/>
          </w:tcPr>
          <w:p>
            <w:pPr>
              <w:pStyle w:val="Normal"/>
              <w:widowControl w:val="false"/>
              <w:spacing w:before="0" w:after="160"/>
              <w:jc w:val="center"/>
              <w:rPr>
                <w:sz w:val="16"/>
                <w:szCs w:val="16"/>
              </w:rPr>
            </w:pPr>
            <w:r>
              <w:rPr>
                <w:sz w:val="16"/>
                <w:szCs w:val="16"/>
              </w:rPr>
              <w:t>Head-Mandibles-Sensory</w:t>
            </w:r>
          </w:p>
        </w:tc>
        <w:tc>
          <w:tcPr>
            <w:tcW w:w="1138" w:type="dxa"/>
            <w:tcBorders/>
            <w:vAlign w:val="center"/>
          </w:tcPr>
          <w:p>
            <w:pPr>
              <w:pStyle w:val="Normal"/>
              <w:widowControl w:val="false"/>
              <w:spacing w:before="0" w:after="160"/>
              <w:jc w:val="center"/>
              <w:rPr>
                <w:sz w:val="16"/>
                <w:szCs w:val="16"/>
              </w:rPr>
            </w:pPr>
            <w:r>
              <w:rPr>
                <w:sz w:val="16"/>
                <w:szCs w:val="16"/>
              </w:rPr>
              <w:t>Head-Mandibles asymmetric</w:t>
            </w:r>
          </w:p>
        </w:tc>
        <w:tc>
          <w:tcPr>
            <w:tcW w:w="1420"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3" w:type="dxa"/>
            <w:tcBorders/>
            <w:vAlign w:val="center"/>
          </w:tcPr>
          <w:p>
            <w:pPr>
              <w:pStyle w:val="Normal"/>
              <w:widowControl w:val="false"/>
              <w:spacing w:before="0" w:after="160"/>
              <w:jc w:val="center"/>
              <w:rPr>
                <w:sz w:val="16"/>
                <w:szCs w:val="16"/>
              </w:rPr>
            </w:pPr>
            <w:r>
              <w:rPr>
                <w:sz w:val="16"/>
                <w:szCs w:val="16"/>
              </w:rPr>
              <w:t>Ventral-Dorsal</w:t>
            </w:r>
          </w:p>
        </w:tc>
        <w:tc>
          <w:tcPr>
            <w:tcW w:w="629" w:type="dxa"/>
            <w:tcBorders/>
            <w:vAlign w:val="center"/>
          </w:tcPr>
          <w:p>
            <w:pPr>
              <w:pStyle w:val="Normal"/>
              <w:widowControl w:val="false"/>
              <w:spacing w:before="0" w:after="160"/>
              <w:jc w:val="center"/>
              <w:rPr>
                <w:sz w:val="16"/>
                <w:szCs w:val="16"/>
              </w:rPr>
            </w:pPr>
            <w:r>
              <w:rPr>
                <w:sz w:val="16"/>
                <w:szCs w:val="16"/>
              </w:rPr>
              <w:t>Half-Half</w:t>
            </w:r>
          </w:p>
        </w:tc>
        <w:tc>
          <w:tcPr>
            <w:tcW w:w="1482" w:type="dxa"/>
            <w:tcBorders/>
            <w:vAlign w:val="center"/>
          </w:tcPr>
          <w:p>
            <w:pPr>
              <w:pStyle w:val="Normal"/>
              <w:widowControl w:val="false"/>
              <w:spacing w:before="0" w:after="160"/>
              <w:jc w:val="center"/>
              <w:rPr>
                <w:sz w:val="16"/>
                <w:szCs w:val="16"/>
              </w:rPr>
            </w:pPr>
            <w:r>
              <w:rPr>
                <w:sz w:val="16"/>
                <w:szCs w:val="16"/>
              </w:rPr>
              <w:t>Mandibles only</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-4.5</w:t>
            </w:r>
          </w:p>
        </w:tc>
        <w:tc>
          <w:tcPr>
            <w:tcW w:w="967" w:type="dxa"/>
            <w:tcBorders/>
            <w:vAlign w:val="center"/>
          </w:tcPr>
          <w:p>
            <w:pPr>
              <w:pStyle w:val="Normal"/>
              <w:widowControl w:val="false"/>
              <w:spacing w:before="0" w:after="160"/>
              <w:jc w:val="center"/>
              <w:rPr>
                <w:sz w:val="16"/>
                <w:szCs w:val="16"/>
              </w:rPr>
            </w:pPr>
            <w:r>
              <w:rPr>
                <w:sz w:val="16"/>
                <w:szCs w:val="16"/>
              </w:rPr>
              <w:t>-3.34</w:t>
            </w:r>
          </w:p>
        </w:tc>
        <w:tc>
          <w:tcPr>
            <w:tcW w:w="1138" w:type="dxa"/>
            <w:tcBorders/>
            <w:vAlign w:val="center"/>
          </w:tcPr>
          <w:p>
            <w:pPr>
              <w:pStyle w:val="Normal"/>
              <w:widowControl w:val="false"/>
              <w:spacing w:before="0" w:after="160"/>
              <w:jc w:val="center"/>
              <w:rPr>
                <w:sz w:val="16"/>
                <w:szCs w:val="16"/>
              </w:rPr>
            </w:pPr>
            <w:r>
              <w:rPr>
                <w:sz w:val="16"/>
                <w:szCs w:val="16"/>
              </w:rPr>
              <w:t>-3.25</w:t>
            </w:r>
          </w:p>
        </w:tc>
        <w:tc>
          <w:tcPr>
            <w:tcW w:w="1420" w:type="dxa"/>
            <w:tcBorders/>
            <w:vAlign w:val="center"/>
          </w:tcPr>
          <w:p>
            <w:pPr>
              <w:pStyle w:val="Normal"/>
              <w:widowControl w:val="false"/>
              <w:spacing w:before="0" w:after="160"/>
              <w:jc w:val="center"/>
              <w:rPr>
                <w:sz w:val="16"/>
                <w:szCs w:val="16"/>
              </w:rPr>
            </w:pPr>
            <w:r>
              <w:rPr>
                <w:sz w:val="16"/>
                <w:szCs w:val="16"/>
              </w:rPr>
              <w:t>-4.13</w:t>
            </w:r>
          </w:p>
        </w:tc>
        <w:tc>
          <w:tcPr>
            <w:tcW w:w="733" w:type="dxa"/>
            <w:tcBorders/>
            <w:vAlign w:val="center"/>
          </w:tcPr>
          <w:p>
            <w:pPr>
              <w:pStyle w:val="Normal"/>
              <w:widowControl w:val="false"/>
              <w:spacing w:before="0" w:after="160"/>
              <w:jc w:val="center"/>
              <w:rPr>
                <w:sz w:val="16"/>
                <w:szCs w:val="16"/>
              </w:rPr>
            </w:pPr>
            <w:r>
              <w:rPr>
                <w:sz w:val="16"/>
                <w:szCs w:val="16"/>
              </w:rPr>
              <w:t>-3.5</w:t>
            </w:r>
          </w:p>
        </w:tc>
        <w:tc>
          <w:tcPr>
            <w:tcW w:w="629" w:type="dxa"/>
            <w:tcBorders/>
            <w:vAlign w:val="center"/>
          </w:tcPr>
          <w:p>
            <w:pPr>
              <w:pStyle w:val="Normal"/>
              <w:widowControl w:val="false"/>
              <w:spacing w:before="0" w:after="160"/>
              <w:jc w:val="center"/>
              <w:rPr>
                <w:sz w:val="16"/>
                <w:szCs w:val="16"/>
              </w:rPr>
            </w:pPr>
            <w:r>
              <w:rPr>
                <w:sz w:val="16"/>
                <w:szCs w:val="16"/>
              </w:rPr>
              <w:t>-2.21</w:t>
            </w:r>
          </w:p>
        </w:tc>
        <w:tc>
          <w:tcPr>
            <w:tcW w:w="1482" w:type="dxa"/>
            <w:tcBorders/>
            <w:vAlign w:val="center"/>
          </w:tcPr>
          <w:p>
            <w:pPr>
              <w:pStyle w:val="Normal"/>
              <w:widowControl w:val="false"/>
              <w:spacing w:before="0" w:after="160"/>
              <w:jc w:val="center"/>
              <w:rPr>
                <w:sz w:val="16"/>
                <w:szCs w:val="16"/>
              </w:rPr>
            </w:pPr>
            <w:r>
              <w:rPr>
                <w:sz w:val="16"/>
                <w:szCs w:val="16"/>
              </w:rPr>
              <w:t>-3.23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8008" w:type="dxa"/>
            <w:gridSpan w:val="8"/>
            <w:tcBorders/>
            <w:vAlign w:val="center"/>
          </w:tcPr>
          <w:p>
            <w:pPr>
              <w:pStyle w:val="Normal"/>
              <w:widowControl w:val="false"/>
              <w:spacing w:before="0" w:after="160"/>
              <w:jc w:val="center"/>
              <w:rPr>
                <w:sz w:val="16"/>
                <w:szCs w:val="16"/>
              </w:rPr>
            </w:pPr>
            <w:r>
              <w:rPr>
                <w:b/>
                <w:sz w:val="16"/>
                <w:szCs w:val="16"/>
              </w:rPr>
              <w:t>B. Pairwise differences in effect size.</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No Modules</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4.5</w:t>
            </w:r>
          </w:p>
        </w:tc>
        <w:tc>
          <w:tcPr>
            <w:tcW w:w="967" w:type="dxa"/>
            <w:tcBorders/>
            <w:vAlign w:val="center"/>
          </w:tcPr>
          <w:p>
            <w:pPr>
              <w:pStyle w:val="Normal"/>
              <w:widowControl w:val="false"/>
              <w:spacing w:before="0" w:after="160"/>
              <w:jc w:val="center"/>
              <w:rPr>
                <w:sz w:val="16"/>
                <w:szCs w:val="16"/>
              </w:rPr>
            </w:pPr>
            <w:r>
              <w:rPr>
                <w:sz w:val="16"/>
                <w:szCs w:val="16"/>
              </w:rPr>
              <w:t>3.34</w:t>
            </w:r>
          </w:p>
        </w:tc>
        <w:tc>
          <w:tcPr>
            <w:tcW w:w="1138" w:type="dxa"/>
            <w:tcBorders/>
            <w:vAlign w:val="center"/>
          </w:tcPr>
          <w:p>
            <w:pPr>
              <w:pStyle w:val="Normal"/>
              <w:widowControl w:val="false"/>
              <w:spacing w:before="0" w:after="160"/>
              <w:jc w:val="center"/>
              <w:rPr>
                <w:sz w:val="16"/>
                <w:szCs w:val="16"/>
              </w:rPr>
            </w:pPr>
            <w:r>
              <w:rPr>
                <w:sz w:val="16"/>
                <w:szCs w:val="16"/>
              </w:rPr>
              <w:t>3.25</w:t>
            </w:r>
          </w:p>
        </w:tc>
        <w:tc>
          <w:tcPr>
            <w:tcW w:w="1420" w:type="dxa"/>
            <w:tcBorders/>
            <w:vAlign w:val="center"/>
          </w:tcPr>
          <w:p>
            <w:pPr>
              <w:pStyle w:val="Normal"/>
              <w:widowControl w:val="false"/>
              <w:spacing w:before="0" w:after="160"/>
              <w:jc w:val="center"/>
              <w:rPr>
                <w:sz w:val="16"/>
                <w:szCs w:val="16"/>
              </w:rPr>
            </w:pPr>
            <w:r>
              <w:rPr>
                <w:sz w:val="16"/>
                <w:szCs w:val="16"/>
              </w:rPr>
              <w:t>4.13</w:t>
            </w:r>
          </w:p>
        </w:tc>
        <w:tc>
          <w:tcPr>
            <w:tcW w:w="733" w:type="dxa"/>
            <w:tcBorders/>
            <w:vAlign w:val="center"/>
          </w:tcPr>
          <w:p>
            <w:pPr>
              <w:pStyle w:val="Normal"/>
              <w:widowControl w:val="false"/>
              <w:spacing w:before="0" w:after="160"/>
              <w:jc w:val="center"/>
              <w:rPr>
                <w:sz w:val="16"/>
                <w:szCs w:val="16"/>
              </w:rPr>
            </w:pPr>
            <w:r>
              <w:rPr>
                <w:sz w:val="16"/>
                <w:szCs w:val="16"/>
              </w:rPr>
              <w:t>3.5</w:t>
            </w:r>
          </w:p>
        </w:tc>
        <w:tc>
          <w:tcPr>
            <w:tcW w:w="629" w:type="dxa"/>
            <w:tcBorders/>
            <w:vAlign w:val="center"/>
          </w:tcPr>
          <w:p>
            <w:pPr>
              <w:pStyle w:val="Normal"/>
              <w:widowControl w:val="false"/>
              <w:spacing w:before="0" w:after="160"/>
              <w:jc w:val="center"/>
              <w:rPr>
                <w:sz w:val="16"/>
                <w:szCs w:val="16"/>
              </w:rPr>
            </w:pPr>
            <w:r>
              <w:rPr>
                <w:sz w:val="16"/>
                <w:szCs w:val="16"/>
              </w:rPr>
              <w:t>2.21</w:t>
            </w:r>
          </w:p>
        </w:tc>
        <w:tc>
          <w:tcPr>
            <w:tcW w:w="1482" w:type="dxa"/>
            <w:tcBorders/>
            <w:vAlign w:val="center"/>
          </w:tcPr>
          <w:p>
            <w:pPr>
              <w:pStyle w:val="Normal"/>
              <w:widowControl w:val="false"/>
              <w:spacing w:before="0" w:after="160"/>
              <w:jc w:val="center"/>
              <w:rPr>
                <w:sz w:val="16"/>
                <w:szCs w:val="16"/>
              </w:rPr>
            </w:pPr>
            <w:r>
              <w:rPr>
                <w:sz w:val="16"/>
                <w:szCs w:val="16"/>
              </w:rPr>
              <w:t>3.23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w:t>
            </w:r>
          </w:p>
        </w:tc>
        <w:tc>
          <w:tcPr>
            <w:tcW w:w="734" w:type="dxa"/>
            <w:tcBorders/>
            <w:vAlign w:val="center"/>
          </w:tcPr>
          <w:p>
            <w:pPr>
              <w:pStyle w:val="Normal"/>
              <w:widowControl w:val="false"/>
              <w:spacing w:before="0" w:after="160"/>
              <w:jc w:val="center"/>
              <w:rPr>
                <w:sz w:val="16"/>
                <w:szCs w:val="16"/>
              </w:rPr>
            </w:pPr>
            <w:r>
              <w:rPr>
                <w:sz w:val="16"/>
                <w:szCs w:val="16"/>
              </w:rPr>
              <w:t>4.5</w:t>
            </w:r>
          </w:p>
        </w:tc>
        <w:tc>
          <w:tcPr>
            <w:tcW w:w="905" w:type="dxa"/>
            <w:tcBorders/>
            <w:vAlign w:val="center"/>
          </w:tcPr>
          <w:p>
            <w:pPr>
              <w:pStyle w:val="Normal"/>
              <w:widowControl w:val="false"/>
              <w:spacing w:before="0" w:after="160"/>
              <w:jc w:val="center"/>
              <w:rPr>
                <w:sz w:val="16"/>
                <w:szCs w:val="16"/>
              </w:rPr>
            </w:pPr>
            <w:r>
              <w:rPr>
                <w:sz w:val="16"/>
                <w:szCs w:val="16"/>
              </w:rPr>
              <w:t>0</w:t>
            </w:r>
          </w:p>
        </w:tc>
        <w:tc>
          <w:tcPr>
            <w:tcW w:w="967" w:type="dxa"/>
            <w:tcBorders/>
            <w:vAlign w:val="center"/>
          </w:tcPr>
          <w:p>
            <w:pPr>
              <w:pStyle w:val="Normal"/>
              <w:widowControl w:val="false"/>
              <w:spacing w:before="0" w:after="160"/>
              <w:jc w:val="center"/>
              <w:rPr>
                <w:sz w:val="16"/>
                <w:szCs w:val="16"/>
              </w:rPr>
            </w:pPr>
            <w:r>
              <w:rPr>
                <w:sz w:val="16"/>
                <w:szCs w:val="16"/>
              </w:rPr>
              <w:t>0.16</w:t>
            </w:r>
          </w:p>
        </w:tc>
        <w:tc>
          <w:tcPr>
            <w:tcW w:w="1138" w:type="dxa"/>
            <w:tcBorders/>
            <w:vAlign w:val="center"/>
          </w:tcPr>
          <w:p>
            <w:pPr>
              <w:pStyle w:val="Normal"/>
              <w:widowControl w:val="false"/>
              <w:spacing w:before="0" w:after="160"/>
              <w:jc w:val="center"/>
              <w:rPr>
                <w:sz w:val="16"/>
                <w:szCs w:val="16"/>
              </w:rPr>
            </w:pPr>
            <w:r>
              <w:rPr>
                <w:sz w:val="16"/>
                <w:szCs w:val="16"/>
              </w:rPr>
              <w:t>0.01</w:t>
            </w:r>
          </w:p>
        </w:tc>
        <w:tc>
          <w:tcPr>
            <w:tcW w:w="1420" w:type="dxa"/>
            <w:tcBorders/>
            <w:vAlign w:val="center"/>
          </w:tcPr>
          <w:p>
            <w:pPr>
              <w:pStyle w:val="Normal"/>
              <w:widowControl w:val="false"/>
              <w:spacing w:before="0" w:after="160"/>
              <w:jc w:val="center"/>
              <w:rPr>
                <w:sz w:val="16"/>
                <w:szCs w:val="16"/>
              </w:rPr>
            </w:pPr>
            <w:r>
              <w:rPr>
                <w:sz w:val="16"/>
                <w:szCs w:val="16"/>
              </w:rPr>
              <w:t>0.13</w:t>
            </w:r>
          </w:p>
        </w:tc>
        <w:tc>
          <w:tcPr>
            <w:tcW w:w="733" w:type="dxa"/>
            <w:tcBorders/>
            <w:vAlign w:val="center"/>
          </w:tcPr>
          <w:p>
            <w:pPr>
              <w:pStyle w:val="Normal"/>
              <w:widowControl w:val="false"/>
              <w:spacing w:before="0" w:after="160"/>
              <w:jc w:val="center"/>
              <w:rPr>
                <w:sz w:val="16"/>
                <w:szCs w:val="16"/>
              </w:rPr>
            </w:pPr>
            <w:r>
              <w:rPr>
                <w:sz w:val="16"/>
                <w:szCs w:val="16"/>
              </w:rPr>
              <w:t>0.19</w:t>
            </w:r>
          </w:p>
        </w:tc>
        <w:tc>
          <w:tcPr>
            <w:tcW w:w="629" w:type="dxa"/>
            <w:tcBorders/>
            <w:vAlign w:val="center"/>
          </w:tcPr>
          <w:p>
            <w:pPr>
              <w:pStyle w:val="Normal"/>
              <w:widowControl w:val="false"/>
              <w:spacing w:before="0" w:after="160"/>
              <w:jc w:val="center"/>
              <w:rPr>
                <w:sz w:val="16"/>
                <w:szCs w:val="16"/>
              </w:rPr>
            </w:pPr>
            <w:r>
              <w:rPr>
                <w:sz w:val="16"/>
                <w:szCs w:val="16"/>
              </w:rPr>
              <w:t>1.59</w:t>
            </w:r>
          </w:p>
        </w:tc>
        <w:tc>
          <w:tcPr>
            <w:tcW w:w="1482" w:type="dxa"/>
            <w:tcBorders/>
            <w:vAlign w:val="center"/>
          </w:tcPr>
          <w:p>
            <w:pPr>
              <w:pStyle w:val="Normal"/>
              <w:widowControl w:val="false"/>
              <w:spacing w:before="0" w:after="160"/>
              <w:jc w:val="center"/>
              <w:rPr>
                <w:sz w:val="16"/>
                <w:szCs w:val="16"/>
              </w:rPr>
            </w:pPr>
            <w:r>
              <w:rPr>
                <w:sz w:val="16"/>
                <w:szCs w:val="16"/>
              </w:rPr>
              <w:t>0.43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Head-Mandibles-Sensory</w:t>
            </w:r>
          </w:p>
        </w:tc>
        <w:tc>
          <w:tcPr>
            <w:tcW w:w="734" w:type="dxa"/>
            <w:tcBorders/>
            <w:vAlign w:val="center"/>
          </w:tcPr>
          <w:p>
            <w:pPr>
              <w:pStyle w:val="Normal"/>
              <w:widowControl w:val="false"/>
              <w:spacing w:before="0" w:after="160"/>
              <w:jc w:val="center"/>
              <w:rPr>
                <w:sz w:val="16"/>
                <w:szCs w:val="16"/>
              </w:rPr>
            </w:pPr>
            <w:r>
              <w:rPr>
                <w:sz w:val="16"/>
                <w:szCs w:val="16"/>
              </w:rPr>
              <w:t>3.34</w:t>
            </w:r>
          </w:p>
        </w:tc>
        <w:tc>
          <w:tcPr>
            <w:tcW w:w="905" w:type="dxa"/>
            <w:tcBorders/>
            <w:vAlign w:val="center"/>
          </w:tcPr>
          <w:p>
            <w:pPr>
              <w:pStyle w:val="Normal"/>
              <w:widowControl w:val="false"/>
              <w:spacing w:before="0" w:after="160"/>
              <w:jc w:val="center"/>
              <w:rPr>
                <w:sz w:val="16"/>
                <w:szCs w:val="16"/>
              </w:rPr>
            </w:pPr>
            <w:r>
              <w:rPr>
                <w:sz w:val="16"/>
                <w:szCs w:val="16"/>
              </w:rPr>
              <w:t>0.16</w:t>
            </w:r>
          </w:p>
        </w:tc>
        <w:tc>
          <w:tcPr>
            <w:tcW w:w="967" w:type="dxa"/>
            <w:tcBorders/>
            <w:vAlign w:val="center"/>
          </w:tcPr>
          <w:p>
            <w:pPr>
              <w:pStyle w:val="Normal"/>
              <w:widowControl w:val="false"/>
              <w:spacing w:before="0" w:after="160"/>
              <w:jc w:val="center"/>
              <w:rPr>
                <w:sz w:val="16"/>
                <w:szCs w:val="16"/>
              </w:rPr>
            </w:pPr>
            <w:r>
              <w:rPr>
                <w:sz w:val="16"/>
                <w:szCs w:val="16"/>
              </w:rPr>
              <w:t>0</w:t>
            </w:r>
          </w:p>
        </w:tc>
        <w:tc>
          <w:tcPr>
            <w:tcW w:w="1138" w:type="dxa"/>
            <w:tcBorders/>
            <w:vAlign w:val="center"/>
          </w:tcPr>
          <w:p>
            <w:pPr>
              <w:pStyle w:val="Normal"/>
              <w:widowControl w:val="false"/>
              <w:spacing w:before="0" w:after="160"/>
              <w:jc w:val="center"/>
              <w:rPr>
                <w:sz w:val="16"/>
                <w:szCs w:val="16"/>
              </w:rPr>
            </w:pPr>
            <w:r>
              <w:rPr>
                <w:sz w:val="16"/>
                <w:szCs w:val="16"/>
              </w:rPr>
              <w:t>0.12</w:t>
            </w:r>
          </w:p>
        </w:tc>
        <w:tc>
          <w:tcPr>
            <w:tcW w:w="1420" w:type="dxa"/>
            <w:tcBorders/>
            <w:vAlign w:val="center"/>
          </w:tcPr>
          <w:p>
            <w:pPr>
              <w:pStyle w:val="Normal"/>
              <w:widowControl w:val="false"/>
              <w:spacing w:before="0" w:after="160"/>
              <w:jc w:val="center"/>
              <w:rPr>
                <w:sz w:val="16"/>
                <w:szCs w:val="16"/>
              </w:rPr>
            </w:pPr>
            <w:r>
              <w:rPr>
                <w:sz w:val="16"/>
                <w:szCs w:val="16"/>
              </w:rPr>
              <w:t>0.26</w:t>
            </w:r>
          </w:p>
        </w:tc>
        <w:tc>
          <w:tcPr>
            <w:tcW w:w="733" w:type="dxa"/>
            <w:tcBorders/>
            <w:vAlign w:val="center"/>
          </w:tcPr>
          <w:p>
            <w:pPr>
              <w:pStyle w:val="Normal"/>
              <w:widowControl w:val="false"/>
              <w:spacing w:before="0" w:after="160"/>
              <w:jc w:val="center"/>
              <w:rPr>
                <w:sz w:val="16"/>
                <w:szCs w:val="16"/>
              </w:rPr>
            </w:pPr>
            <w:r>
              <w:rPr>
                <w:sz w:val="16"/>
                <w:szCs w:val="16"/>
              </w:rPr>
              <w:t>0.31</w:t>
            </w:r>
          </w:p>
        </w:tc>
        <w:tc>
          <w:tcPr>
            <w:tcW w:w="629" w:type="dxa"/>
            <w:tcBorders/>
            <w:vAlign w:val="center"/>
          </w:tcPr>
          <w:p>
            <w:pPr>
              <w:pStyle w:val="Normal"/>
              <w:widowControl w:val="false"/>
              <w:spacing w:before="0" w:after="160"/>
              <w:jc w:val="center"/>
              <w:rPr>
                <w:sz w:val="16"/>
                <w:szCs w:val="16"/>
              </w:rPr>
            </w:pPr>
            <w:r>
              <w:rPr>
                <w:sz w:val="16"/>
                <w:szCs w:val="16"/>
              </w:rPr>
              <w:t>1.24</w:t>
            </w:r>
          </w:p>
        </w:tc>
        <w:tc>
          <w:tcPr>
            <w:tcW w:w="1482" w:type="dxa"/>
            <w:tcBorders/>
            <w:vAlign w:val="center"/>
          </w:tcPr>
          <w:p>
            <w:pPr>
              <w:pStyle w:val="Normal"/>
              <w:widowControl w:val="false"/>
              <w:spacing w:before="0" w:after="160"/>
              <w:jc w:val="center"/>
              <w:rPr>
                <w:sz w:val="16"/>
                <w:szCs w:val="16"/>
              </w:rPr>
            </w:pPr>
            <w:r>
              <w:rPr>
                <w:sz w:val="16"/>
                <w:szCs w:val="16"/>
              </w:rPr>
              <w:t>0.24</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w:t>
            </w:r>
          </w:p>
        </w:tc>
        <w:tc>
          <w:tcPr>
            <w:tcW w:w="734" w:type="dxa"/>
            <w:tcBorders/>
            <w:vAlign w:val="center"/>
          </w:tcPr>
          <w:p>
            <w:pPr>
              <w:pStyle w:val="Normal"/>
              <w:widowControl w:val="false"/>
              <w:spacing w:before="0" w:after="160"/>
              <w:jc w:val="center"/>
              <w:rPr>
                <w:sz w:val="16"/>
                <w:szCs w:val="16"/>
              </w:rPr>
            </w:pPr>
            <w:r>
              <w:rPr>
                <w:sz w:val="16"/>
                <w:szCs w:val="16"/>
              </w:rPr>
              <w:t>3.25</w:t>
            </w:r>
          </w:p>
        </w:tc>
        <w:tc>
          <w:tcPr>
            <w:tcW w:w="905" w:type="dxa"/>
            <w:tcBorders/>
            <w:vAlign w:val="center"/>
          </w:tcPr>
          <w:p>
            <w:pPr>
              <w:pStyle w:val="Normal"/>
              <w:widowControl w:val="false"/>
              <w:spacing w:before="0" w:after="160"/>
              <w:jc w:val="center"/>
              <w:rPr>
                <w:sz w:val="16"/>
                <w:szCs w:val="16"/>
              </w:rPr>
            </w:pPr>
            <w:r>
              <w:rPr>
                <w:sz w:val="16"/>
                <w:szCs w:val="16"/>
              </w:rPr>
              <w:t>0.01</w:t>
            </w:r>
          </w:p>
        </w:tc>
        <w:tc>
          <w:tcPr>
            <w:tcW w:w="967" w:type="dxa"/>
            <w:tcBorders/>
            <w:vAlign w:val="center"/>
          </w:tcPr>
          <w:p>
            <w:pPr>
              <w:pStyle w:val="Normal"/>
              <w:widowControl w:val="false"/>
              <w:spacing w:before="0" w:after="160"/>
              <w:jc w:val="center"/>
              <w:rPr>
                <w:sz w:val="16"/>
                <w:szCs w:val="16"/>
              </w:rPr>
            </w:pPr>
            <w:r>
              <w:rPr>
                <w:sz w:val="16"/>
                <w:szCs w:val="16"/>
              </w:rPr>
              <w:t>0.12</w:t>
            </w:r>
          </w:p>
        </w:tc>
        <w:tc>
          <w:tcPr>
            <w:tcW w:w="1138" w:type="dxa"/>
            <w:tcBorders/>
            <w:vAlign w:val="center"/>
          </w:tcPr>
          <w:p>
            <w:pPr>
              <w:pStyle w:val="Normal"/>
              <w:widowControl w:val="false"/>
              <w:spacing w:before="0" w:after="160"/>
              <w:jc w:val="center"/>
              <w:rPr>
                <w:sz w:val="16"/>
                <w:szCs w:val="16"/>
              </w:rPr>
            </w:pPr>
            <w:r>
              <w:rPr>
                <w:sz w:val="16"/>
                <w:szCs w:val="16"/>
              </w:rPr>
              <w:t>0</w:t>
            </w:r>
          </w:p>
        </w:tc>
        <w:tc>
          <w:tcPr>
            <w:tcW w:w="1420" w:type="dxa"/>
            <w:tcBorders/>
            <w:vAlign w:val="center"/>
          </w:tcPr>
          <w:p>
            <w:pPr>
              <w:pStyle w:val="Normal"/>
              <w:widowControl w:val="false"/>
              <w:spacing w:before="0" w:after="160"/>
              <w:jc w:val="center"/>
              <w:rPr>
                <w:sz w:val="16"/>
                <w:szCs w:val="16"/>
              </w:rPr>
            </w:pPr>
            <w:r>
              <w:rPr>
                <w:sz w:val="16"/>
                <w:szCs w:val="16"/>
              </w:rPr>
              <w:t>0.12</w:t>
            </w:r>
          </w:p>
        </w:tc>
        <w:tc>
          <w:tcPr>
            <w:tcW w:w="733" w:type="dxa"/>
            <w:tcBorders/>
            <w:vAlign w:val="center"/>
          </w:tcPr>
          <w:p>
            <w:pPr>
              <w:pStyle w:val="Normal"/>
              <w:widowControl w:val="false"/>
              <w:spacing w:before="0" w:after="160"/>
              <w:jc w:val="center"/>
              <w:rPr>
                <w:sz w:val="16"/>
                <w:szCs w:val="16"/>
              </w:rPr>
            </w:pPr>
            <w:r>
              <w:rPr>
                <w:sz w:val="16"/>
                <w:szCs w:val="16"/>
              </w:rPr>
              <w:t>0.18</w:t>
            </w:r>
          </w:p>
        </w:tc>
        <w:tc>
          <w:tcPr>
            <w:tcW w:w="629" w:type="dxa"/>
            <w:tcBorders/>
            <w:vAlign w:val="center"/>
          </w:tcPr>
          <w:p>
            <w:pPr>
              <w:pStyle w:val="Normal"/>
              <w:widowControl w:val="false"/>
              <w:spacing w:before="0" w:after="160"/>
              <w:jc w:val="center"/>
              <w:rPr>
                <w:sz w:val="16"/>
                <w:szCs w:val="16"/>
              </w:rPr>
            </w:pPr>
            <w:r>
              <w:rPr>
                <w:sz w:val="16"/>
                <w:szCs w:val="16"/>
              </w:rPr>
              <w:t>1.31</w:t>
            </w:r>
          </w:p>
        </w:tc>
        <w:tc>
          <w:tcPr>
            <w:tcW w:w="1482" w:type="dxa"/>
            <w:tcBorders/>
            <w:vAlign w:val="center"/>
          </w:tcPr>
          <w:p>
            <w:pPr>
              <w:pStyle w:val="Normal"/>
              <w:widowControl w:val="false"/>
              <w:spacing w:before="0" w:after="160"/>
              <w:jc w:val="center"/>
              <w:rPr>
                <w:sz w:val="16"/>
                <w:szCs w:val="16"/>
              </w:rPr>
            </w:pPr>
            <w:r>
              <w:rPr>
                <w:sz w:val="16"/>
                <w:szCs w:val="16"/>
              </w:rPr>
              <w:t>0.35</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4" w:type="dxa"/>
            <w:tcBorders/>
            <w:vAlign w:val="center"/>
          </w:tcPr>
          <w:p>
            <w:pPr>
              <w:pStyle w:val="Normal"/>
              <w:widowControl w:val="false"/>
              <w:spacing w:before="0" w:after="160"/>
              <w:jc w:val="center"/>
              <w:rPr>
                <w:sz w:val="16"/>
                <w:szCs w:val="16"/>
              </w:rPr>
            </w:pPr>
            <w:r>
              <w:rPr>
                <w:sz w:val="16"/>
                <w:szCs w:val="16"/>
              </w:rPr>
              <w:t>4.13</w:t>
            </w:r>
          </w:p>
        </w:tc>
        <w:tc>
          <w:tcPr>
            <w:tcW w:w="905" w:type="dxa"/>
            <w:tcBorders/>
            <w:vAlign w:val="center"/>
          </w:tcPr>
          <w:p>
            <w:pPr>
              <w:pStyle w:val="Normal"/>
              <w:widowControl w:val="false"/>
              <w:spacing w:before="0" w:after="160"/>
              <w:jc w:val="center"/>
              <w:rPr>
                <w:sz w:val="16"/>
                <w:szCs w:val="16"/>
              </w:rPr>
            </w:pPr>
            <w:r>
              <w:rPr>
                <w:sz w:val="16"/>
                <w:szCs w:val="16"/>
              </w:rPr>
              <w:t>0.13</w:t>
            </w:r>
          </w:p>
        </w:tc>
        <w:tc>
          <w:tcPr>
            <w:tcW w:w="967" w:type="dxa"/>
            <w:tcBorders/>
            <w:vAlign w:val="center"/>
          </w:tcPr>
          <w:p>
            <w:pPr>
              <w:pStyle w:val="Normal"/>
              <w:widowControl w:val="false"/>
              <w:spacing w:before="0" w:after="160"/>
              <w:jc w:val="center"/>
              <w:rPr>
                <w:sz w:val="16"/>
                <w:szCs w:val="16"/>
              </w:rPr>
            </w:pPr>
            <w:r>
              <w:rPr>
                <w:sz w:val="16"/>
                <w:szCs w:val="16"/>
              </w:rPr>
              <w:t>0.26</w:t>
            </w:r>
          </w:p>
        </w:tc>
        <w:tc>
          <w:tcPr>
            <w:tcW w:w="1138" w:type="dxa"/>
            <w:tcBorders/>
            <w:vAlign w:val="center"/>
          </w:tcPr>
          <w:p>
            <w:pPr>
              <w:pStyle w:val="Normal"/>
              <w:widowControl w:val="false"/>
              <w:spacing w:before="0" w:after="160"/>
              <w:jc w:val="center"/>
              <w:rPr>
                <w:sz w:val="16"/>
                <w:szCs w:val="16"/>
              </w:rPr>
            </w:pPr>
            <w:r>
              <w:rPr>
                <w:sz w:val="16"/>
                <w:szCs w:val="16"/>
              </w:rPr>
              <w:t>0.12</w:t>
            </w:r>
          </w:p>
        </w:tc>
        <w:tc>
          <w:tcPr>
            <w:tcW w:w="1420" w:type="dxa"/>
            <w:tcBorders/>
            <w:vAlign w:val="center"/>
          </w:tcPr>
          <w:p>
            <w:pPr>
              <w:pStyle w:val="Normal"/>
              <w:widowControl w:val="false"/>
              <w:spacing w:before="0" w:after="160"/>
              <w:jc w:val="center"/>
              <w:rPr>
                <w:sz w:val="16"/>
                <w:szCs w:val="16"/>
              </w:rPr>
            </w:pPr>
            <w:r>
              <w:rPr>
                <w:sz w:val="16"/>
                <w:szCs w:val="16"/>
              </w:rPr>
              <w:t>0</w:t>
            </w:r>
          </w:p>
        </w:tc>
        <w:tc>
          <w:tcPr>
            <w:tcW w:w="733" w:type="dxa"/>
            <w:tcBorders/>
            <w:vAlign w:val="center"/>
          </w:tcPr>
          <w:p>
            <w:pPr>
              <w:pStyle w:val="Normal"/>
              <w:widowControl w:val="false"/>
              <w:spacing w:before="0" w:after="160"/>
              <w:jc w:val="center"/>
              <w:rPr>
                <w:sz w:val="16"/>
                <w:szCs w:val="16"/>
              </w:rPr>
            </w:pPr>
            <w:r>
              <w:rPr>
                <w:sz w:val="16"/>
                <w:szCs w:val="16"/>
              </w:rPr>
              <w:t>0.07</w:t>
            </w:r>
          </w:p>
        </w:tc>
        <w:tc>
          <w:tcPr>
            <w:tcW w:w="629" w:type="dxa"/>
            <w:tcBorders/>
            <w:vAlign w:val="center"/>
          </w:tcPr>
          <w:p>
            <w:pPr>
              <w:pStyle w:val="Normal"/>
              <w:widowControl w:val="false"/>
              <w:spacing w:before="0" w:after="160"/>
              <w:jc w:val="center"/>
              <w:rPr>
                <w:sz w:val="16"/>
                <w:szCs w:val="16"/>
              </w:rPr>
            </w:pPr>
            <w:r>
              <w:rPr>
                <w:sz w:val="16"/>
                <w:szCs w:val="16"/>
              </w:rPr>
              <w:t>1.61</w:t>
            </w:r>
          </w:p>
        </w:tc>
        <w:tc>
          <w:tcPr>
            <w:tcW w:w="1482" w:type="dxa"/>
            <w:tcBorders/>
            <w:vAlign w:val="center"/>
          </w:tcPr>
          <w:p>
            <w:pPr>
              <w:pStyle w:val="Normal"/>
              <w:widowControl w:val="false"/>
              <w:spacing w:before="0" w:after="160"/>
              <w:jc w:val="center"/>
              <w:rPr>
                <w:sz w:val="16"/>
                <w:szCs w:val="16"/>
              </w:rPr>
            </w:pPr>
            <w:r>
              <w:rPr>
                <w:sz w:val="16"/>
                <w:szCs w:val="16"/>
              </w:rPr>
              <w:t>0.52</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Ventral-Dorsal</w:t>
            </w:r>
          </w:p>
        </w:tc>
        <w:tc>
          <w:tcPr>
            <w:tcW w:w="734" w:type="dxa"/>
            <w:tcBorders/>
            <w:vAlign w:val="center"/>
          </w:tcPr>
          <w:p>
            <w:pPr>
              <w:pStyle w:val="Normal"/>
              <w:widowControl w:val="false"/>
              <w:spacing w:before="0" w:after="160"/>
              <w:jc w:val="center"/>
              <w:rPr>
                <w:sz w:val="16"/>
                <w:szCs w:val="16"/>
              </w:rPr>
            </w:pPr>
            <w:r>
              <w:rPr>
                <w:sz w:val="16"/>
                <w:szCs w:val="16"/>
              </w:rPr>
              <w:t>3.5</w:t>
            </w:r>
          </w:p>
        </w:tc>
        <w:tc>
          <w:tcPr>
            <w:tcW w:w="905" w:type="dxa"/>
            <w:tcBorders/>
            <w:vAlign w:val="center"/>
          </w:tcPr>
          <w:p>
            <w:pPr>
              <w:pStyle w:val="Normal"/>
              <w:widowControl w:val="false"/>
              <w:spacing w:before="0" w:after="160"/>
              <w:jc w:val="center"/>
              <w:rPr>
                <w:sz w:val="16"/>
                <w:szCs w:val="16"/>
              </w:rPr>
            </w:pPr>
            <w:r>
              <w:rPr>
                <w:sz w:val="16"/>
                <w:szCs w:val="16"/>
              </w:rPr>
              <w:t>0.19</w:t>
            </w:r>
          </w:p>
        </w:tc>
        <w:tc>
          <w:tcPr>
            <w:tcW w:w="967" w:type="dxa"/>
            <w:tcBorders/>
            <w:vAlign w:val="center"/>
          </w:tcPr>
          <w:p>
            <w:pPr>
              <w:pStyle w:val="Normal"/>
              <w:widowControl w:val="false"/>
              <w:spacing w:before="0" w:after="160"/>
              <w:jc w:val="center"/>
              <w:rPr>
                <w:sz w:val="16"/>
                <w:szCs w:val="16"/>
              </w:rPr>
            </w:pPr>
            <w:r>
              <w:rPr>
                <w:sz w:val="16"/>
                <w:szCs w:val="16"/>
              </w:rPr>
              <w:t>0.31</w:t>
            </w:r>
          </w:p>
        </w:tc>
        <w:tc>
          <w:tcPr>
            <w:tcW w:w="1138" w:type="dxa"/>
            <w:tcBorders/>
            <w:vAlign w:val="center"/>
          </w:tcPr>
          <w:p>
            <w:pPr>
              <w:pStyle w:val="Normal"/>
              <w:widowControl w:val="false"/>
              <w:spacing w:before="0" w:after="160"/>
              <w:jc w:val="center"/>
              <w:rPr>
                <w:sz w:val="16"/>
                <w:szCs w:val="16"/>
              </w:rPr>
            </w:pPr>
            <w:r>
              <w:rPr>
                <w:sz w:val="16"/>
                <w:szCs w:val="16"/>
              </w:rPr>
              <w:t>0.18</w:t>
            </w:r>
          </w:p>
        </w:tc>
        <w:tc>
          <w:tcPr>
            <w:tcW w:w="1420" w:type="dxa"/>
            <w:tcBorders/>
            <w:vAlign w:val="center"/>
          </w:tcPr>
          <w:p>
            <w:pPr>
              <w:pStyle w:val="Normal"/>
              <w:widowControl w:val="false"/>
              <w:spacing w:before="0" w:after="160"/>
              <w:jc w:val="center"/>
              <w:rPr>
                <w:sz w:val="16"/>
                <w:szCs w:val="16"/>
              </w:rPr>
            </w:pPr>
            <w:r>
              <w:rPr>
                <w:sz w:val="16"/>
                <w:szCs w:val="16"/>
              </w:rPr>
              <w:t>0.07</w:t>
            </w:r>
          </w:p>
        </w:tc>
        <w:tc>
          <w:tcPr>
            <w:tcW w:w="733" w:type="dxa"/>
            <w:tcBorders/>
            <w:vAlign w:val="center"/>
          </w:tcPr>
          <w:p>
            <w:pPr>
              <w:pStyle w:val="Normal"/>
              <w:widowControl w:val="false"/>
              <w:spacing w:before="0" w:after="160"/>
              <w:jc w:val="center"/>
              <w:rPr>
                <w:sz w:val="16"/>
                <w:szCs w:val="16"/>
              </w:rPr>
            </w:pPr>
            <w:r>
              <w:rPr>
                <w:sz w:val="16"/>
                <w:szCs w:val="16"/>
              </w:rPr>
              <w:t>0</w:t>
            </w:r>
          </w:p>
        </w:tc>
        <w:tc>
          <w:tcPr>
            <w:tcW w:w="629" w:type="dxa"/>
            <w:tcBorders/>
            <w:vAlign w:val="center"/>
          </w:tcPr>
          <w:p>
            <w:pPr>
              <w:pStyle w:val="Normal"/>
              <w:widowControl w:val="false"/>
              <w:spacing w:before="0" w:after="160"/>
              <w:jc w:val="center"/>
              <w:rPr>
                <w:sz w:val="16"/>
                <w:szCs w:val="16"/>
              </w:rPr>
            </w:pPr>
            <w:r>
              <w:rPr>
                <w:sz w:val="16"/>
                <w:szCs w:val="16"/>
              </w:rPr>
              <w:t>1.51</w:t>
            </w:r>
          </w:p>
        </w:tc>
        <w:tc>
          <w:tcPr>
            <w:tcW w:w="1482" w:type="dxa"/>
            <w:tcBorders/>
            <w:vAlign w:val="center"/>
          </w:tcPr>
          <w:p>
            <w:pPr>
              <w:pStyle w:val="Normal"/>
              <w:widowControl w:val="false"/>
              <w:spacing w:before="0" w:after="160"/>
              <w:jc w:val="center"/>
              <w:rPr>
                <w:sz w:val="16"/>
                <w:szCs w:val="16"/>
              </w:rPr>
            </w:pPr>
            <w:r>
              <w:rPr>
                <w:sz w:val="16"/>
                <w:szCs w:val="16"/>
              </w:rPr>
              <w:t>0.54</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Half-Half</w:t>
            </w:r>
          </w:p>
        </w:tc>
        <w:tc>
          <w:tcPr>
            <w:tcW w:w="734" w:type="dxa"/>
            <w:tcBorders/>
            <w:vAlign w:val="center"/>
          </w:tcPr>
          <w:p>
            <w:pPr>
              <w:pStyle w:val="Normal"/>
              <w:widowControl w:val="false"/>
              <w:spacing w:before="0" w:after="160"/>
              <w:jc w:val="center"/>
              <w:rPr>
                <w:sz w:val="16"/>
                <w:szCs w:val="16"/>
              </w:rPr>
            </w:pPr>
            <w:r>
              <w:rPr>
                <w:sz w:val="16"/>
                <w:szCs w:val="16"/>
              </w:rPr>
              <w:t>2.21</w:t>
            </w:r>
          </w:p>
        </w:tc>
        <w:tc>
          <w:tcPr>
            <w:tcW w:w="905" w:type="dxa"/>
            <w:tcBorders/>
            <w:vAlign w:val="center"/>
          </w:tcPr>
          <w:p>
            <w:pPr>
              <w:pStyle w:val="Normal"/>
              <w:widowControl w:val="false"/>
              <w:spacing w:before="0" w:after="160"/>
              <w:jc w:val="center"/>
              <w:rPr>
                <w:sz w:val="16"/>
                <w:szCs w:val="16"/>
              </w:rPr>
            </w:pPr>
            <w:r>
              <w:rPr>
                <w:sz w:val="16"/>
                <w:szCs w:val="16"/>
              </w:rPr>
              <w:t>1.59</w:t>
            </w:r>
          </w:p>
        </w:tc>
        <w:tc>
          <w:tcPr>
            <w:tcW w:w="967" w:type="dxa"/>
            <w:tcBorders/>
            <w:vAlign w:val="center"/>
          </w:tcPr>
          <w:p>
            <w:pPr>
              <w:pStyle w:val="Normal"/>
              <w:widowControl w:val="false"/>
              <w:spacing w:before="0" w:after="160"/>
              <w:jc w:val="center"/>
              <w:rPr>
                <w:sz w:val="16"/>
                <w:szCs w:val="16"/>
              </w:rPr>
            </w:pPr>
            <w:r>
              <w:rPr>
                <w:sz w:val="16"/>
                <w:szCs w:val="16"/>
              </w:rPr>
              <w:t>1.24</w:t>
            </w:r>
          </w:p>
        </w:tc>
        <w:tc>
          <w:tcPr>
            <w:tcW w:w="1138" w:type="dxa"/>
            <w:tcBorders/>
            <w:vAlign w:val="center"/>
          </w:tcPr>
          <w:p>
            <w:pPr>
              <w:pStyle w:val="Normal"/>
              <w:widowControl w:val="false"/>
              <w:spacing w:before="0" w:after="160"/>
              <w:jc w:val="center"/>
              <w:rPr>
                <w:sz w:val="16"/>
                <w:szCs w:val="16"/>
              </w:rPr>
            </w:pPr>
            <w:r>
              <w:rPr>
                <w:sz w:val="16"/>
                <w:szCs w:val="16"/>
              </w:rPr>
              <w:t>1.31</w:t>
            </w:r>
          </w:p>
        </w:tc>
        <w:tc>
          <w:tcPr>
            <w:tcW w:w="1420" w:type="dxa"/>
            <w:tcBorders/>
            <w:vAlign w:val="center"/>
          </w:tcPr>
          <w:p>
            <w:pPr>
              <w:pStyle w:val="Normal"/>
              <w:widowControl w:val="false"/>
              <w:spacing w:before="0" w:after="160"/>
              <w:jc w:val="center"/>
              <w:rPr>
                <w:sz w:val="16"/>
                <w:szCs w:val="16"/>
              </w:rPr>
            </w:pPr>
            <w:r>
              <w:rPr>
                <w:sz w:val="16"/>
                <w:szCs w:val="16"/>
              </w:rPr>
              <w:t>1.61</w:t>
            </w:r>
          </w:p>
        </w:tc>
        <w:tc>
          <w:tcPr>
            <w:tcW w:w="733" w:type="dxa"/>
            <w:tcBorders/>
            <w:vAlign w:val="center"/>
          </w:tcPr>
          <w:p>
            <w:pPr>
              <w:pStyle w:val="Normal"/>
              <w:widowControl w:val="false"/>
              <w:spacing w:before="0" w:after="160"/>
              <w:jc w:val="center"/>
              <w:rPr>
                <w:sz w:val="16"/>
                <w:szCs w:val="16"/>
              </w:rPr>
            </w:pPr>
            <w:r>
              <w:rPr>
                <w:sz w:val="16"/>
                <w:szCs w:val="16"/>
              </w:rPr>
              <w:t>1.51</w:t>
            </w:r>
          </w:p>
        </w:tc>
        <w:tc>
          <w:tcPr>
            <w:tcW w:w="629" w:type="dxa"/>
            <w:tcBorders/>
            <w:vAlign w:val="center"/>
          </w:tcPr>
          <w:p>
            <w:pPr>
              <w:pStyle w:val="Normal"/>
              <w:widowControl w:val="false"/>
              <w:spacing w:before="0" w:after="160"/>
              <w:jc w:val="center"/>
              <w:rPr>
                <w:sz w:val="16"/>
                <w:szCs w:val="16"/>
              </w:rPr>
            </w:pPr>
            <w:r>
              <w:rPr>
                <w:sz w:val="16"/>
                <w:szCs w:val="16"/>
              </w:rPr>
              <w:t>0</w:t>
            </w:r>
          </w:p>
        </w:tc>
        <w:tc>
          <w:tcPr>
            <w:tcW w:w="1482" w:type="dxa"/>
            <w:tcBorders/>
            <w:vAlign w:val="center"/>
          </w:tcPr>
          <w:p>
            <w:pPr>
              <w:pStyle w:val="Normal"/>
              <w:widowControl w:val="false"/>
              <w:spacing w:before="0" w:after="160"/>
              <w:jc w:val="center"/>
              <w:rPr>
                <w:sz w:val="16"/>
                <w:szCs w:val="16"/>
              </w:rPr>
            </w:pPr>
            <w:r>
              <w:rPr>
                <w:sz w:val="16"/>
                <w:szCs w:val="16"/>
              </w:rPr>
              <w:t>1.03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Mandibles only</w:t>
            </w:r>
          </w:p>
        </w:tc>
        <w:tc>
          <w:tcPr>
            <w:tcW w:w="734" w:type="dxa"/>
            <w:tcBorders/>
            <w:vAlign w:val="center"/>
          </w:tcPr>
          <w:p>
            <w:pPr>
              <w:pStyle w:val="Normal"/>
              <w:widowControl w:val="false"/>
              <w:spacing w:before="0" w:after="160"/>
              <w:jc w:val="center"/>
              <w:rPr>
                <w:sz w:val="16"/>
                <w:szCs w:val="16"/>
              </w:rPr>
            </w:pPr>
            <w:r>
              <w:rPr>
                <w:sz w:val="16"/>
                <w:szCs w:val="16"/>
              </w:rPr>
              <w:t>3.23</w:t>
            </w:r>
          </w:p>
        </w:tc>
        <w:tc>
          <w:tcPr>
            <w:tcW w:w="905" w:type="dxa"/>
            <w:tcBorders/>
            <w:vAlign w:val="center"/>
          </w:tcPr>
          <w:p>
            <w:pPr>
              <w:pStyle w:val="Normal"/>
              <w:widowControl w:val="false"/>
              <w:spacing w:before="0" w:after="160"/>
              <w:jc w:val="center"/>
              <w:rPr>
                <w:sz w:val="16"/>
                <w:szCs w:val="16"/>
              </w:rPr>
            </w:pPr>
            <w:r>
              <w:rPr>
                <w:sz w:val="16"/>
                <w:szCs w:val="16"/>
              </w:rPr>
              <w:t>0.43</w:t>
            </w:r>
          </w:p>
        </w:tc>
        <w:tc>
          <w:tcPr>
            <w:tcW w:w="967" w:type="dxa"/>
            <w:tcBorders/>
            <w:vAlign w:val="center"/>
          </w:tcPr>
          <w:p>
            <w:pPr>
              <w:pStyle w:val="Normal"/>
              <w:widowControl w:val="false"/>
              <w:spacing w:before="0" w:after="160"/>
              <w:jc w:val="center"/>
              <w:rPr>
                <w:sz w:val="16"/>
                <w:szCs w:val="16"/>
              </w:rPr>
            </w:pPr>
            <w:r>
              <w:rPr>
                <w:sz w:val="16"/>
                <w:szCs w:val="16"/>
              </w:rPr>
              <w:t>0.24</w:t>
            </w:r>
          </w:p>
        </w:tc>
        <w:tc>
          <w:tcPr>
            <w:tcW w:w="1138" w:type="dxa"/>
            <w:tcBorders/>
            <w:vAlign w:val="center"/>
          </w:tcPr>
          <w:p>
            <w:pPr>
              <w:pStyle w:val="Normal"/>
              <w:widowControl w:val="false"/>
              <w:spacing w:before="0" w:after="160"/>
              <w:jc w:val="center"/>
              <w:rPr>
                <w:sz w:val="16"/>
                <w:szCs w:val="16"/>
              </w:rPr>
            </w:pPr>
            <w:r>
              <w:rPr>
                <w:sz w:val="16"/>
                <w:szCs w:val="16"/>
              </w:rPr>
              <w:t>0.35</w:t>
            </w:r>
          </w:p>
        </w:tc>
        <w:tc>
          <w:tcPr>
            <w:tcW w:w="1420" w:type="dxa"/>
            <w:tcBorders/>
            <w:vAlign w:val="center"/>
          </w:tcPr>
          <w:p>
            <w:pPr>
              <w:pStyle w:val="Normal"/>
              <w:widowControl w:val="false"/>
              <w:spacing w:before="0" w:after="160"/>
              <w:jc w:val="center"/>
              <w:rPr>
                <w:sz w:val="16"/>
                <w:szCs w:val="16"/>
              </w:rPr>
            </w:pPr>
            <w:r>
              <w:rPr>
                <w:sz w:val="16"/>
                <w:szCs w:val="16"/>
              </w:rPr>
              <w:t>0.52</w:t>
            </w:r>
          </w:p>
        </w:tc>
        <w:tc>
          <w:tcPr>
            <w:tcW w:w="733" w:type="dxa"/>
            <w:tcBorders/>
            <w:vAlign w:val="center"/>
          </w:tcPr>
          <w:p>
            <w:pPr>
              <w:pStyle w:val="Normal"/>
              <w:widowControl w:val="false"/>
              <w:spacing w:before="0" w:after="160"/>
              <w:jc w:val="center"/>
              <w:rPr>
                <w:sz w:val="16"/>
                <w:szCs w:val="16"/>
              </w:rPr>
            </w:pPr>
            <w:r>
              <w:rPr>
                <w:sz w:val="16"/>
                <w:szCs w:val="16"/>
              </w:rPr>
              <w:t>0.54</w:t>
            </w:r>
          </w:p>
        </w:tc>
        <w:tc>
          <w:tcPr>
            <w:tcW w:w="629" w:type="dxa"/>
            <w:tcBorders/>
            <w:vAlign w:val="center"/>
          </w:tcPr>
          <w:p>
            <w:pPr>
              <w:pStyle w:val="Normal"/>
              <w:widowControl w:val="false"/>
              <w:spacing w:before="0" w:after="160"/>
              <w:jc w:val="center"/>
              <w:rPr>
                <w:sz w:val="16"/>
                <w:szCs w:val="16"/>
              </w:rPr>
            </w:pPr>
            <w:r>
              <w:rPr>
                <w:sz w:val="16"/>
                <w:szCs w:val="16"/>
              </w:rPr>
              <w:t>1.03</w:t>
            </w:r>
          </w:p>
        </w:tc>
        <w:tc>
          <w:tcPr>
            <w:tcW w:w="1482" w:type="dxa"/>
            <w:tcBorders/>
            <w:vAlign w:val="center"/>
          </w:tcPr>
          <w:p>
            <w:pPr>
              <w:pStyle w:val="Normal"/>
              <w:widowControl w:val="false"/>
              <w:spacing w:before="0" w:after="160"/>
              <w:jc w:val="center"/>
              <w:rPr>
                <w:sz w:val="16"/>
                <w:szCs w:val="16"/>
              </w:rPr>
            </w:pPr>
            <w:r>
              <w:rPr>
                <w:sz w:val="16"/>
                <w:szCs w:val="16"/>
              </w:rPr>
              <w:t>0</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8008" w:type="dxa"/>
            <w:gridSpan w:val="8"/>
            <w:tcBorders/>
            <w:vAlign w:val="center"/>
          </w:tcPr>
          <w:p>
            <w:pPr>
              <w:pStyle w:val="Normal"/>
              <w:widowControl w:val="false"/>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No Modules</w:t>
            </w:r>
          </w:p>
        </w:tc>
        <w:tc>
          <w:tcPr>
            <w:tcW w:w="734" w:type="dxa"/>
            <w:tcBorders/>
            <w:vAlign w:val="center"/>
          </w:tcPr>
          <w:p>
            <w:pPr>
              <w:pStyle w:val="Normal"/>
              <w:widowControl w:val="false"/>
              <w:spacing w:before="0" w:after="160"/>
              <w:jc w:val="center"/>
              <w:rPr>
                <w:sz w:val="16"/>
                <w:szCs w:val="16"/>
              </w:rPr>
            </w:pPr>
            <w:r>
              <w:rPr>
                <w:sz w:val="16"/>
                <w:szCs w:val="16"/>
              </w:rPr>
              <w:t>1</w:t>
            </w:r>
          </w:p>
        </w:tc>
        <w:tc>
          <w:tcPr>
            <w:tcW w:w="905" w:type="dxa"/>
            <w:tcBorders/>
            <w:vAlign w:val="center"/>
          </w:tcPr>
          <w:p>
            <w:pPr>
              <w:pStyle w:val="Normal"/>
              <w:widowControl w:val="false"/>
              <w:spacing w:before="0" w:after="160"/>
              <w:jc w:val="center"/>
              <w:rPr>
                <w:sz w:val="16"/>
                <w:szCs w:val="16"/>
              </w:rPr>
            </w:pPr>
            <w:r>
              <w:rPr>
                <w:sz w:val="16"/>
                <w:szCs w:val="16"/>
              </w:rPr>
              <w:t>0</w:t>
            </w:r>
          </w:p>
        </w:tc>
        <w:tc>
          <w:tcPr>
            <w:tcW w:w="967" w:type="dxa"/>
            <w:tcBorders/>
            <w:vAlign w:val="center"/>
          </w:tcPr>
          <w:p>
            <w:pPr>
              <w:pStyle w:val="Normal"/>
              <w:widowControl w:val="false"/>
              <w:spacing w:before="0" w:after="160"/>
              <w:jc w:val="center"/>
              <w:rPr>
                <w:sz w:val="16"/>
                <w:szCs w:val="16"/>
              </w:rPr>
            </w:pPr>
            <w:r>
              <w:rPr>
                <w:sz w:val="16"/>
                <w:szCs w:val="16"/>
              </w:rPr>
              <w:t>0</w:t>
            </w:r>
          </w:p>
        </w:tc>
        <w:tc>
          <w:tcPr>
            <w:tcW w:w="1138" w:type="dxa"/>
            <w:tcBorders/>
            <w:vAlign w:val="center"/>
          </w:tcPr>
          <w:p>
            <w:pPr>
              <w:pStyle w:val="Normal"/>
              <w:widowControl w:val="false"/>
              <w:spacing w:before="0" w:after="160"/>
              <w:jc w:val="center"/>
              <w:rPr>
                <w:sz w:val="16"/>
                <w:szCs w:val="16"/>
              </w:rPr>
            </w:pPr>
            <w:r>
              <w:rPr>
                <w:sz w:val="16"/>
                <w:szCs w:val="16"/>
              </w:rPr>
              <w:t>0</w:t>
            </w:r>
          </w:p>
        </w:tc>
        <w:tc>
          <w:tcPr>
            <w:tcW w:w="1420" w:type="dxa"/>
            <w:tcBorders/>
            <w:vAlign w:val="center"/>
          </w:tcPr>
          <w:p>
            <w:pPr>
              <w:pStyle w:val="Normal"/>
              <w:widowControl w:val="false"/>
              <w:spacing w:before="0" w:after="160"/>
              <w:jc w:val="center"/>
              <w:rPr>
                <w:sz w:val="16"/>
                <w:szCs w:val="16"/>
              </w:rPr>
            </w:pPr>
            <w:r>
              <w:rPr>
                <w:sz w:val="16"/>
                <w:szCs w:val="16"/>
              </w:rPr>
              <w:t>0</w:t>
            </w:r>
          </w:p>
        </w:tc>
        <w:tc>
          <w:tcPr>
            <w:tcW w:w="733" w:type="dxa"/>
            <w:tcBorders/>
            <w:vAlign w:val="center"/>
          </w:tcPr>
          <w:p>
            <w:pPr>
              <w:pStyle w:val="Normal"/>
              <w:widowControl w:val="false"/>
              <w:spacing w:before="0" w:after="160"/>
              <w:jc w:val="center"/>
              <w:rPr>
                <w:sz w:val="16"/>
                <w:szCs w:val="16"/>
              </w:rPr>
            </w:pPr>
            <w:r>
              <w:rPr>
                <w:sz w:val="16"/>
                <w:szCs w:val="16"/>
              </w:rPr>
              <w:t>0</w:t>
            </w:r>
          </w:p>
        </w:tc>
        <w:tc>
          <w:tcPr>
            <w:tcW w:w="629" w:type="dxa"/>
            <w:tcBorders/>
            <w:vAlign w:val="center"/>
          </w:tcPr>
          <w:p>
            <w:pPr>
              <w:pStyle w:val="Normal"/>
              <w:widowControl w:val="false"/>
              <w:spacing w:before="0" w:after="160"/>
              <w:jc w:val="center"/>
              <w:rPr>
                <w:sz w:val="16"/>
                <w:szCs w:val="16"/>
              </w:rPr>
            </w:pPr>
            <w:r>
              <w:rPr>
                <w:sz w:val="16"/>
                <w:szCs w:val="16"/>
              </w:rPr>
              <w:t>0.03</w:t>
            </w:r>
          </w:p>
        </w:tc>
        <w:tc>
          <w:tcPr>
            <w:tcW w:w="1482" w:type="dxa"/>
            <w:tcBorders/>
            <w:vAlign w:val="center"/>
          </w:tcPr>
          <w:p>
            <w:pPr>
              <w:pStyle w:val="Normal"/>
              <w:widowControl w:val="false"/>
              <w:spacing w:before="0" w:after="160"/>
              <w:jc w:val="center"/>
              <w:rPr>
                <w:sz w:val="16"/>
                <w:szCs w:val="16"/>
              </w:rPr>
            </w:pPr>
            <w:r>
              <w:rPr>
                <w:sz w:val="16"/>
                <w:szCs w:val="16"/>
              </w:rPr>
              <w:t>0</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1</w:t>
            </w:r>
          </w:p>
        </w:tc>
        <w:tc>
          <w:tcPr>
            <w:tcW w:w="967" w:type="dxa"/>
            <w:tcBorders/>
            <w:vAlign w:val="center"/>
          </w:tcPr>
          <w:p>
            <w:pPr>
              <w:pStyle w:val="Normal"/>
              <w:widowControl w:val="false"/>
              <w:spacing w:before="0" w:after="160"/>
              <w:jc w:val="center"/>
              <w:rPr>
                <w:sz w:val="16"/>
                <w:szCs w:val="16"/>
              </w:rPr>
            </w:pPr>
            <w:r>
              <w:rPr>
                <w:sz w:val="16"/>
                <w:szCs w:val="16"/>
              </w:rPr>
              <w:t>0.88</w:t>
            </w:r>
          </w:p>
        </w:tc>
        <w:tc>
          <w:tcPr>
            <w:tcW w:w="1138" w:type="dxa"/>
            <w:tcBorders/>
            <w:vAlign w:val="center"/>
          </w:tcPr>
          <w:p>
            <w:pPr>
              <w:pStyle w:val="Normal"/>
              <w:widowControl w:val="false"/>
              <w:spacing w:before="0" w:after="160"/>
              <w:jc w:val="center"/>
              <w:rPr>
                <w:sz w:val="16"/>
                <w:szCs w:val="16"/>
              </w:rPr>
            </w:pPr>
            <w:r>
              <w:rPr>
                <w:sz w:val="16"/>
                <w:szCs w:val="16"/>
              </w:rPr>
              <w:t>0.99</w:t>
            </w:r>
          </w:p>
        </w:tc>
        <w:tc>
          <w:tcPr>
            <w:tcW w:w="1420" w:type="dxa"/>
            <w:tcBorders/>
            <w:vAlign w:val="center"/>
          </w:tcPr>
          <w:p>
            <w:pPr>
              <w:pStyle w:val="Normal"/>
              <w:widowControl w:val="false"/>
              <w:spacing w:before="0" w:after="160"/>
              <w:jc w:val="center"/>
              <w:rPr>
                <w:sz w:val="16"/>
                <w:szCs w:val="16"/>
              </w:rPr>
            </w:pPr>
            <w:r>
              <w:rPr>
                <w:sz w:val="16"/>
                <w:szCs w:val="16"/>
              </w:rPr>
              <w:t>0.9</w:t>
            </w:r>
          </w:p>
        </w:tc>
        <w:tc>
          <w:tcPr>
            <w:tcW w:w="733" w:type="dxa"/>
            <w:tcBorders/>
            <w:vAlign w:val="center"/>
          </w:tcPr>
          <w:p>
            <w:pPr>
              <w:pStyle w:val="Normal"/>
              <w:widowControl w:val="false"/>
              <w:spacing w:before="0" w:after="160"/>
              <w:jc w:val="center"/>
              <w:rPr>
                <w:sz w:val="16"/>
                <w:szCs w:val="16"/>
              </w:rPr>
            </w:pPr>
            <w:r>
              <w:rPr>
                <w:sz w:val="16"/>
                <w:szCs w:val="16"/>
              </w:rPr>
              <w:t>0.85</w:t>
            </w:r>
          </w:p>
        </w:tc>
        <w:tc>
          <w:tcPr>
            <w:tcW w:w="629" w:type="dxa"/>
            <w:tcBorders/>
            <w:vAlign w:val="center"/>
          </w:tcPr>
          <w:p>
            <w:pPr>
              <w:pStyle w:val="Normal"/>
              <w:widowControl w:val="false"/>
              <w:spacing w:before="0" w:after="160"/>
              <w:jc w:val="center"/>
              <w:rPr>
                <w:sz w:val="16"/>
                <w:szCs w:val="16"/>
              </w:rPr>
            </w:pPr>
            <w:r>
              <w:rPr>
                <w:sz w:val="16"/>
                <w:szCs w:val="16"/>
              </w:rPr>
              <w:t>0.11</w:t>
            </w:r>
          </w:p>
        </w:tc>
        <w:tc>
          <w:tcPr>
            <w:tcW w:w="1482" w:type="dxa"/>
            <w:tcBorders/>
            <w:vAlign w:val="center"/>
          </w:tcPr>
          <w:p>
            <w:pPr>
              <w:pStyle w:val="Normal"/>
              <w:widowControl w:val="false"/>
              <w:spacing w:before="0" w:after="160"/>
              <w:jc w:val="center"/>
              <w:rPr>
                <w:sz w:val="16"/>
                <w:szCs w:val="16"/>
              </w:rPr>
            </w:pPr>
            <w:r>
              <w:rPr>
                <w:sz w:val="16"/>
                <w:szCs w:val="16"/>
              </w:rPr>
              <w:t>0.67</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Head-Mandibles-Sensory</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0.88</w:t>
            </w:r>
          </w:p>
        </w:tc>
        <w:tc>
          <w:tcPr>
            <w:tcW w:w="967" w:type="dxa"/>
            <w:tcBorders/>
            <w:vAlign w:val="center"/>
          </w:tcPr>
          <w:p>
            <w:pPr>
              <w:pStyle w:val="Normal"/>
              <w:widowControl w:val="false"/>
              <w:spacing w:before="0" w:after="160"/>
              <w:jc w:val="center"/>
              <w:rPr>
                <w:sz w:val="16"/>
                <w:szCs w:val="16"/>
              </w:rPr>
            </w:pPr>
            <w:r>
              <w:rPr>
                <w:sz w:val="16"/>
                <w:szCs w:val="16"/>
              </w:rPr>
              <w:t>1</w:t>
            </w:r>
          </w:p>
        </w:tc>
        <w:tc>
          <w:tcPr>
            <w:tcW w:w="1138" w:type="dxa"/>
            <w:tcBorders/>
            <w:vAlign w:val="center"/>
          </w:tcPr>
          <w:p>
            <w:pPr>
              <w:pStyle w:val="Normal"/>
              <w:widowControl w:val="false"/>
              <w:spacing w:before="0" w:after="160"/>
              <w:jc w:val="center"/>
              <w:rPr>
                <w:sz w:val="16"/>
                <w:szCs w:val="16"/>
              </w:rPr>
            </w:pPr>
            <w:r>
              <w:rPr>
                <w:sz w:val="16"/>
                <w:szCs w:val="16"/>
              </w:rPr>
              <w:t>0.9</w:t>
            </w:r>
          </w:p>
        </w:tc>
        <w:tc>
          <w:tcPr>
            <w:tcW w:w="1420" w:type="dxa"/>
            <w:tcBorders/>
            <w:vAlign w:val="center"/>
          </w:tcPr>
          <w:p>
            <w:pPr>
              <w:pStyle w:val="Normal"/>
              <w:widowControl w:val="false"/>
              <w:spacing w:before="0" w:after="160"/>
              <w:jc w:val="center"/>
              <w:rPr>
                <w:sz w:val="16"/>
                <w:szCs w:val="16"/>
              </w:rPr>
            </w:pPr>
            <w:r>
              <w:rPr>
                <w:sz w:val="16"/>
                <w:szCs w:val="16"/>
              </w:rPr>
              <w:t>0.79</w:t>
            </w:r>
          </w:p>
        </w:tc>
        <w:tc>
          <w:tcPr>
            <w:tcW w:w="733" w:type="dxa"/>
            <w:tcBorders/>
            <w:vAlign w:val="center"/>
          </w:tcPr>
          <w:p>
            <w:pPr>
              <w:pStyle w:val="Normal"/>
              <w:widowControl w:val="false"/>
              <w:spacing w:before="0" w:after="160"/>
              <w:jc w:val="center"/>
              <w:rPr>
                <w:sz w:val="16"/>
                <w:szCs w:val="16"/>
              </w:rPr>
            </w:pPr>
            <w:r>
              <w:rPr>
                <w:sz w:val="16"/>
                <w:szCs w:val="16"/>
              </w:rPr>
              <w:t>0.76</w:t>
            </w:r>
          </w:p>
        </w:tc>
        <w:tc>
          <w:tcPr>
            <w:tcW w:w="629" w:type="dxa"/>
            <w:tcBorders/>
            <w:vAlign w:val="center"/>
          </w:tcPr>
          <w:p>
            <w:pPr>
              <w:pStyle w:val="Normal"/>
              <w:widowControl w:val="false"/>
              <w:spacing w:before="0" w:after="160"/>
              <w:jc w:val="center"/>
              <w:rPr>
                <w:sz w:val="16"/>
                <w:szCs w:val="16"/>
              </w:rPr>
            </w:pPr>
            <w:r>
              <w:rPr>
                <w:sz w:val="16"/>
                <w:szCs w:val="16"/>
              </w:rPr>
              <w:t>0.22</w:t>
            </w:r>
          </w:p>
        </w:tc>
        <w:tc>
          <w:tcPr>
            <w:tcW w:w="1482" w:type="dxa"/>
            <w:tcBorders/>
            <w:vAlign w:val="center"/>
          </w:tcPr>
          <w:p>
            <w:pPr>
              <w:pStyle w:val="Normal"/>
              <w:widowControl w:val="false"/>
              <w:spacing w:before="0" w:after="160"/>
              <w:jc w:val="center"/>
              <w:rPr>
                <w:sz w:val="16"/>
                <w:szCs w:val="16"/>
              </w:rPr>
            </w:pPr>
            <w:r>
              <w:rPr>
                <w:sz w:val="16"/>
                <w:szCs w:val="16"/>
              </w:rPr>
              <w:t>0.81</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0.99</w:t>
            </w:r>
          </w:p>
        </w:tc>
        <w:tc>
          <w:tcPr>
            <w:tcW w:w="967" w:type="dxa"/>
            <w:tcBorders/>
            <w:vAlign w:val="center"/>
          </w:tcPr>
          <w:p>
            <w:pPr>
              <w:pStyle w:val="Normal"/>
              <w:widowControl w:val="false"/>
              <w:spacing w:before="0" w:after="160"/>
              <w:jc w:val="center"/>
              <w:rPr>
                <w:sz w:val="16"/>
                <w:szCs w:val="16"/>
              </w:rPr>
            </w:pPr>
            <w:r>
              <w:rPr>
                <w:sz w:val="16"/>
                <w:szCs w:val="16"/>
              </w:rPr>
              <w:t>0.9</w:t>
            </w:r>
          </w:p>
        </w:tc>
        <w:tc>
          <w:tcPr>
            <w:tcW w:w="1138" w:type="dxa"/>
            <w:tcBorders/>
            <w:vAlign w:val="center"/>
          </w:tcPr>
          <w:p>
            <w:pPr>
              <w:pStyle w:val="Normal"/>
              <w:widowControl w:val="false"/>
              <w:spacing w:before="0" w:after="160"/>
              <w:jc w:val="center"/>
              <w:rPr>
                <w:sz w:val="16"/>
                <w:szCs w:val="16"/>
              </w:rPr>
            </w:pPr>
            <w:r>
              <w:rPr>
                <w:sz w:val="16"/>
                <w:szCs w:val="16"/>
              </w:rPr>
              <w:t>1</w:t>
            </w:r>
          </w:p>
        </w:tc>
        <w:tc>
          <w:tcPr>
            <w:tcW w:w="1420" w:type="dxa"/>
            <w:tcBorders/>
            <w:vAlign w:val="center"/>
          </w:tcPr>
          <w:p>
            <w:pPr>
              <w:pStyle w:val="Normal"/>
              <w:widowControl w:val="false"/>
              <w:spacing w:before="0" w:after="160"/>
              <w:jc w:val="center"/>
              <w:rPr>
                <w:sz w:val="16"/>
                <w:szCs w:val="16"/>
              </w:rPr>
            </w:pPr>
            <w:r>
              <w:rPr>
                <w:sz w:val="16"/>
                <w:szCs w:val="16"/>
              </w:rPr>
              <w:t>0.91</w:t>
            </w:r>
          </w:p>
        </w:tc>
        <w:tc>
          <w:tcPr>
            <w:tcW w:w="733" w:type="dxa"/>
            <w:tcBorders/>
            <w:vAlign w:val="center"/>
          </w:tcPr>
          <w:p>
            <w:pPr>
              <w:pStyle w:val="Normal"/>
              <w:widowControl w:val="false"/>
              <w:spacing w:before="0" w:after="160"/>
              <w:jc w:val="center"/>
              <w:rPr>
                <w:sz w:val="16"/>
                <w:szCs w:val="16"/>
              </w:rPr>
            </w:pPr>
            <w:r>
              <w:rPr>
                <w:sz w:val="16"/>
                <w:szCs w:val="16"/>
              </w:rPr>
              <w:t>0.86</w:t>
            </w:r>
          </w:p>
        </w:tc>
        <w:tc>
          <w:tcPr>
            <w:tcW w:w="629" w:type="dxa"/>
            <w:tcBorders/>
            <w:vAlign w:val="center"/>
          </w:tcPr>
          <w:p>
            <w:pPr>
              <w:pStyle w:val="Normal"/>
              <w:widowControl w:val="false"/>
              <w:spacing w:before="0" w:after="160"/>
              <w:jc w:val="center"/>
              <w:rPr>
                <w:sz w:val="16"/>
                <w:szCs w:val="16"/>
              </w:rPr>
            </w:pPr>
            <w:r>
              <w:rPr>
                <w:sz w:val="16"/>
                <w:szCs w:val="16"/>
              </w:rPr>
              <w:t>0.19</w:t>
            </w:r>
          </w:p>
        </w:tc>
        <w:tc>
          <w:tcPr>
            <w:tcW w:w="1482" w:type="dxa"/>
            <w:tcBorders/>
            <w:vAlign w:val="center"/>
          </w:tcPr>
          <w:p>
            <w:pPr>
              <w:pStyle w:val="Normal"/>
              <w:widowControl w:val="false"/>
              <w:spacing w:before="0" w:after="160"/>
              <w:jc w:val="center"/>
              <w:rPr>
                <w:sz w:val="16"/>
                <w:szCs w:val="16"/>
              </w:rPr>
            </w:pPr>
            <w:r>
              <w:rPr>
                <w:sz w:val="16"/>
                <w:szCs w:val="16"/>
              </w:rPr>
              <w:t>0.72</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0.9</w:t>
            </w:r>
          </w:p>
        </w:tc>
        <w:tc>
          <w:tcPr>
            <w:tcW w:w="967" w:type="dxa"/>
            <w:tcBorders/>
            <w:vAlign w:val="center"/>
          </w:tcPr>
          <w:p>
            <w:pPr>
              <w:pStyle w:val="Normal"/>
              <w:widowControl w:val="false"/>
              <w:spacing w:before="0" w:after="160"/>
              <w:jc w:val="center"/>
              <w:rPr>
                <w:sz w:val="16"/>
                <w:szCs w:val="16"/>
              </w:rPr>
            </w:pPr>
            <w:r>
              <w:rPr>
                <w:sz w:val="16"/>
                <w:szCs w:val="16"/>
              </w:rPr>
              <w:t>0.79</w:t>
            </w:r>
          </w:p>
        </w:tc>
        <w:tc>
          <w:tcPr>
            <w:tcW w:w="1138" w:type="dxa"/>
            <w:tcBorders/>
            <w:vAlign w:val="center"/>
          </w:tcPr>
          <w:p>
            <w:pPr>
              <w:pStyle w:val="Normal"/>
              <w:widowControl w:val="false"/>
              <w:spacing w:before="0" w:after="160"/>
              <w:jc w:val="center"/>
              <w:rPr>
                <w:sz w:val="16"/>
                <w:szCs w:val="16"/>
              </w:rPr>
            </w:pPr>
            <w:r>
              <w:rPr>
                <w:sz w:val="16"/>
                <w:szCs w:val="16"/>
              </w:rPr>
              <w:t>0.91</w:t>
            </w:r>
          </w:p>
        </w:tc>
        <w:tc>
          <w:tcPr>
            <w:tcW w:w="1420" w:type="dxa"/>
            <w:tcBorders/>
            <w:vAlign w:val="center"/>
          </w:tcPr>
          <w:p>
            <w:pPr>
              <w:pStyle w:val="Normal"/>
              <w:widowControl w:val="false"/>
              <w:spacing w:before="0" w:after="160"/>
              <w:jc w:val="center"/>
              <w:rPr>
                <w:sz w:val="16"/>
                <w:szCs w:val="16"/>
              </w:rPr>
            </w:pPr>
            <w:r>
              <w:rPr>
                <w:sz w:val="16"/>
                <w:szCs w:val="16"/>
              </w:rPr>
              <w:t>1</w:t>
            </w:r>
          </w:p>
        </w:tc>
        <w:tc>
          <w:tcPr>
            <w:tcW w:w="733" w:type="dxa"/>
            <w:tcBorders/>
            <w:vAlign w:val="center"/>
          </w:tcPr>
          <w:p>
            <w:pPr>
              <w:pStyle w:val="Normal"/>
              <w:widowControl w:val="false"/>
              <w:spacing w:before="0" w:after="160"/>
              <w:jc w:val="center"/>
              <w:rPr>
                <w:sz w:val="16"/>
                <w:szCs w:val="16"/>
              </w:rPr>
            </w:pPr>
            <w:r>
              <w:rPr>
                <w:sz w:val="16"/>
                <w:szCs w:val="16"/>
              </w:rPr>
              <w:t>0.94</w:t>
            </w:r>
          </w:p>
        </w:tc>
        <w:tc>
          <w:tcPr>
            <w:tcW w:w="629" w:type="dxa"/>
            <w:tcBorders/>
            <w:vAlign w:val="center"/>
          </w:tcPr>
          <w:p>
            <w:pPr>
              <w:pStyle w:val="Normal"/>
              <w:widowControl w:val="false"/>
              <w:spacing w:before="0" w:after="160"/>
              <w:jc w:val="center"/>
              <w:rPr>
                <w:sz w:val="16"/>
                <w:szCs w:val="16"/>
              </w:rPr>
            </w:pPr>
            <w:r>
              <w:rPr>
                <w:sz w:val="16"/>
                <w:szCs w:val="16"/>
              </w:rPr>
              <w:t>0.11</w:t>
            </w:r>
          </w:p>
        </w:tc>
        <w:tc>
          <w:tcPr>
            <w:tcW w:w="1482" w:type="dxa"/>
            <w:tcBorders/>
            <w:vAlign w:val="center"/>
          </w:tcPr>
          <w:p>
            <w:pPr>
              <w:pStyle w:val="Normal"/>
              <w:widowControl w:val="false"/>
              <w:spacing w:before="0" w:after="160"/>
              <w:jc w:val="center"/>
              <w:rPr>
                <w:sz w:val="16"/>
                <w:szCs w:val="16"/>
              </w:rPr>
            </w:pPr>
            <w:r>
              <w:rPr>
                <w:sz w:val="16"/>
                <w:szCs w:val="16"/>
              </w:rPr>
              <w:t>0.6</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Ventral-Dorsal</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0.85</w:t>
            </w:r>
          </w:p>
        </w:tc>
        <w:tc>
          <w:tcPr>
            <w:tcW w:w="967" w:type="dxa"/>
            <w:tcBorders/>
            <w:vAlign w:val="center"/>
          </w:tcPr>
          <w:p>
            <w:pPr>
              <w:pStyle w:val="Normal"/>
              <w:widowControl w:val="false"/>
              <w:spacing w:before="0" w:after="160"/>
              <w:jc w:val="center"/>
              <w:rPr>
                <w:sz w:val="16"/>
                <w:szCs w:val="16"/>
              </w:rPr>
            </w:pPr>
            <w:r>
              <w:rPr>
                <w:sz w:val="16"/>
                <w:szCs w:val="16"/>
              </w:rPr>
              <w:t>0.76</w:t>
            </w:r>
          </w:p>
        </w:tc>
        <w:tc>
          <w:tcPr>
            <w:tcW w:w="1138" w:type="dxa"/>
            <w:tcBorders/>
            <w:vAlign w:val="center"/>
          </w:tcPr>
          <w:p>
            <w:pPr>
              <w:pStyle w:val="Normal"/>
              <w:widowControl w:val="false"/>
              <w:spacing w:before="0" w:after="160"/>
              <w:jc w:val="center"/>
              <w:rPr>
                <w:sz w:val="16"/>
                <w:szCs w:val="16"/>
              </w:rPr>
            </w:pPr>
            <w:r>
              <w:rPr>
                <w:sz w:val="16"/>
                <w:szCs w:val="16"/>
              </w:rPr>
              <w:t>0.86</w:t>
            </w:r>
          </w:p>
        </w:tc>
        <w:tc>
          <w:tcPr>
            <w:tcW w:w="1420" w:type="dxa"/>
            <w:tcBorders/>
            <w:vAlign w:val="center"/>
          </w:tcPr>
          <w:p>
            <w:pPr>
              <w:pStyle w:val="Normal"/>
              <w:widowControl w:val="false"/>
              <w:spacing w:before="0" w:after="160"/>
              <w:jc w:val="center"/>
              <w:rPr>
                <w:sz w:val="16"/>
                <w:szCs w:val="16"/>
              </w:rPr>
            </w:pPr>
            <w:r>
              <w:rPr>
                <w:sz w:val="16"/>
                <w:szCs w:val="16"/>
              </w:rPr>
              <w:t>0.94</w:t>
            </w:r>
          </w:p>
        </w:tc>
        <w:tc>
          <w:tcPr>
            <w:tcW w:w="733" w:type="dxa"/>
            <w:tcBorders/>
            <w:vAlign w:val="center"/>
          </w:tcPr>
          <w:p>
            <w:pPr>
              <w:pStyle w:val="Normal"/>
              <w:widowControl w:val="false"/>
              <w:spacing w:before="0" w:after="160"/>
              <w:jc w:val="center"/>
              <w:rPr>
                <w:sz w:val="16"/>
                <w:szCs w:val="16"/>
              </w:rPr>
            </w:pPr>
            <w:r>
              <w:rPr>
                <w:sz w:val="16"/>
                <w:szCs w:val="16"/>
              </w:rPr>
              <w:t>1</w:t>
            </w:r>
          </w:p>
        </w:tc>
        <w:tc>
          <w:tcPr>
            <w:tcW w:w="629" w:type="dxa"/>
            <w:tcBorders/>
            <w:vAlign w:val="center"/>
          </w:tcPr>
          <w:p>
            <w:pPr>
              <w:pStyle w:val="Normal"/>
              <w:widowControl w:val="false"/>
              <w:spacing w:before="0" w:after="160"/>
              <w:jc w:val="center"/>
              <w:rPr>
                <w:sz w:val="16"/>
                <w:szCs w:val="16"/>
              </w:rPr>
            </w:pPr>
            <w:r>
              <w:rPr>
                <w:sz w:val="16"/>
                <w:szCs w:val="16"/>
              </w:rPr>
              <w:t>0.13</w:t>
            </w:r>
          </w:p>
        </w:tc>
        <w:tc>
          <w:tcPr>
            <w:tcW w:w="1482" w:type="dxa"/>
            <w:tcBorders/>
            <w:vAlign w:val="center"/>
          </w:tcPr>
          <w:p>
            <w:pPr>
              <w:pStyle w:val="Normal"/>
              <w:widowControl w:val="false"/>
              <w:spacing w:before="0" w:after="160"/>
              <w:jc w:val="center"/>
              <w:rPr>
                <w:sz w:val="16"/>
                <w:szCs w:val="16"/>
              </w:rPr>
            </w:pPr>
            <w:r>
              <w:rPr>
                <w:sz w:val="16"/>
                <w:szCs w:val="16"/>
              </w:rPr>
              <w:t>0.59</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Half-Half</w:t>
            </w:r>
          </w:p>
        </w:tc>
        <w:tc>
          <w:tcPr>
            <w:tcW w:w="734" w:type="dxa"/>
            <w:tcBorders/>
            <w:vAlign w:val="center"/>
          </w:tcPr>
          <w:p>
            <w:pPr>
              <w:pStyle w:val="Normal"/>
              <w:widowControl w:val="false"/>
              <w:spacing w:before="0" w:after="160"/>
              <w:jc w:val="center"/>
              <w:rPr>
                <w:sz w:val="16"/>
                <w:szCs w:val="16"/>
              </w:rPr>
            </w:pPr>
            <w:r>
              <w:rPr>
                <w:sz w:val="16"/>
                <w:szCs w:val="16"/>
              </w:rPr>
              <w:t>0.03</w:t>
            </w:r>
          </w:p>
        </w:tc>
        <w:tc>
          <w:tcPr>
            <w:tcW w:w="905" w:type="dxa"/>
            <w:tcBorders/>
            <w:vAlign w:val="center"/>
          </w:tcPr>
          <w:p>
            <w:pPr>
              <w:pStyle w:val="Normal"/>
              <w:widowControl w:val="false"/>
              <w:spacing w:before="0" w:after="160"/>
              <w:jc w:val="center"/>
              <w:rPr>
                <w:sz w:val="16"/>
                <w:szCs w:val="16"/>
              </w:rPr>
            </w:pPr>
            <w:r>
              <w:rPr>
                <w:sz w:val="16"/>
                <w:szCs w:val="16"/>
              </w:rPr>
              <w:t>0.11</w:t>
            </w:r>
          </w:p>
        </w:tc>
        <w:tc>
          <w:tcPr>
            <w:tcW w:w="967" w:type="dxa"/>
            <w:tcBorders/>
            <w:vAlign w:val="center"/>
          </w:tcPr>
          <w:p>
            <w:pPr>
              <w:pStyle w:val="Normal"/>
              <w:widowControl w:val="false"/>
              <w:spacing w:before="0" w:after="160"/>
              <w:jc w:val="center"/>
              <w:rPr>
                <w:sz w:val="16"/>
                <w:szCs w:val="16"/>
              </w:rPr>
            </w:pPr>
            <w:r>
              <w:rPr>
                <w:sz w:val="16"/>
                <w:szCs w:val="16"/>
              </w:rPr>
              <w:t>0.22</w:t>
            </w:r>
          </w:p>
        </w:tc>
        <w:tc>
          <w:tcPr>
            <w:tcW w:w="1138" w:type="dxa"/>
            <w:tcBorders/>
            <w:vAlign w:val="center"/>
          </w:tcPr>
          <w:p>
            <w:pPr>
              <w:pStyle w:val="Normal"/>
              <w:widowControl w:val="false"/>
              <w:spacing w:before="0" w:after="160"/>
              <w:jc w:val="center"/>
              <w:rPr>
                <w:sz w:val="16"/>
                <w:szCs w:val="16"/>
              </w:rPr>
            </w:pPr>
            <w:r>
              <w:rPr>
                <w:sz w:val="16"/>
                <w:szCs w:val="16"/>
              </w:rPr>
              <w:t>0.19</w:t>
            </w:r>
          </w:p>
        </w:tc>
        <w:tc>
          <w:tcPr>
            <w:tcW w:w="1420" w:type="dxa"/>
            <w:tcBorders/>
            <w:vAlign w:val="center"/>
          </w:tcPr>
          <w:p>
            <w:pPr>
              <w:pStyle w:val="Normal"/>
              <w:widowControl w:val="false"/>
              <w:spacing w:before="0" w:after="160"/>
              <w:jc w:val="center"/>
              <w:rPr>
                <w:sz w:val="16"/>
                <w:szCs w:val="16"/>
              </w:rPr>
            </w:pPr>
            <w:r>
              <w:rPr>
                <w:sz w:val="16"/>
                <w:szCs w:val="16"/>
              </w:rPr>
              <w:t>0.11</w:t>
            </w:r>
          </w:p>
        </w:tc>
        <w:tc>
          <w:tcPr>
            <w:tcW w:w="733" w:type="dxa"/>
            <w:tcBorders/>
            <w:vAlign w:val="center"/>
          </w:tcPr>
          <w:p>
            <w:pPr>
              <w:pStyle w:val="Normal"/>
              <w:widowControl w:val="false"/>
              <w:spacing w:before="0" w:after="160"/>
              <w:jc w:val="center"/>
              <w:rPr>
                <w:sz w:val="16"/>
                <w:szCs w:val="16"/>
              </w:rPr>
            </w:pPr>
            <w:r>
              <w:rPr>
                <w:sz w:val="16"/>
                <w:szCs w:val="16"/>
              </w:rPr>
              <w:t>0.13</w:t>
            </w:r>
          </w:p>
        </w:tc>
        <w:tc>
          <w:tcPr>
            <w:tcW w:w="629" w:type="dxa"/>
            <w:tcBorders/>
            <w:vAlign w:val="center"/>
          </w:tcPr>
          <w:p>
            <w:pPr>
              <w:pStyle w:val="Normal"/>
              <w:widowControl w:val="false"/>
              <w:spacing w:before="0" w:after="160"/>
              <w:jc w:val="center"/>
              <w:rPr>
                <w:sz w:val="16"/>
                <w:szCs w:val="16"/>
              </w:rPr>
            </w:pPr>
            <w:r>
              <w:rPr>
                <w:sz w:val="16"/>
                <w:szCs w:val="16"/>
              </w:rPr>
              <w:t>1</w:t>
            </w:r>
          </w:p>
        </w:tc>
        <w:tc>
          <w:tcPr>
            <w:tcW w:w="1482" w:type="dxa"/>
            <w:tcBorders/>
            <w:vAlign w:val="center"/>
          </w:tcPr>
          <w:p>
            <w:pPr>
              <w:pStyle w:val="Normal"/>
              <w:widowControl w:val="false"/>
              <w:spacing w:before="0" w:after="160"/>
              <w:jc w:val="center"/>
              <w:rPr>
                <w:sz w:val="16"/>
                <w:szCs w:val="16"/>
              </w:rPr>
            </w:pPr>
            <w:r>
              <w:rPr>
                <w:sz w:val="16"/>
                <w:szCs w:val="16"/>
              </w:rPr>
              <w:t>0.31</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Mandibles only</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0.67</w:t>
            </w:r>
          </w:p>
        </w:tc>
        <w:tc>
          <w:tcPr>
            <w:tcW w:w="967" w:type="dxa"/>
            <w:tcBorders/>
            <w:vAlign w:val="center"/>
          </w:tcPr>
          <w:p>
            <w:pPr>
              <w:pStyle w:val="Normal"/>
              <w:widowControl w:val="false"/>
              <w:spacing w:before="0" w:after="160"/>
              <w:jc w:val="center"/>
              <w:rPr>
                <w:sz w:val="16"/>
                <w:szCs w:val="16"/>
              </w:rPr>
            </w:pPr>
            <w:r>
              <w:rPr>
                <w:sz w:val="16"/>
                <w:szCs w:val="16"/>
              </w:rPr>
              <w:t>0.81</w:t>
            </w:r>
          </w:p>
        </w:tc>
        <w:tc>
          <w:tcPr>
            <w:tcW w:w="1138" w:type="dxa"/>
            <w:tcBorders/>
            <w:vAlign w:val="center"/>
          </w:tcPr>
          <w:p>
            <w:pPr>
              <w:pStyle w:val="Normal"/>
              <w:widowControl w:val="false"/>
              <w:spacing w:before="0" w:after="160"/>
              <w:jc w:val="center"/>
              <w:rPr>
                <w:sz w:val="16"/>
                <w:szCs w:val="16"/>
              </w:rPr>
            </w:pPr>
            <w:r>
              <w:rPr>
                <w:sz w:val="16"/>
                <w:szCs w:val="16"/>
              </w:rPr>
              <w:t>0.72</w:t>
            </w:r>
          </w:p>
        </w:tc>
        <w:tc>
          <w:tcPr>
            <w:tcW w:w="1420" w:type="dxa"/>
            <w:tcBorders/>
            <w:vAlign w:val="center"/>
          </w:tcPr>
          <w:p>
            <w:pPr>
              <w:pStyle w:val="Normal"/>
              <w:widowControl w:val="false"/>
              <w:spacing w:before="0" w:after="160"/>
              <w:jc w:val="center"/>
              <w:rPr>
                <w:sz w:val="16"/>
                <w:szCs w:val="16"/>
              </w:rPr>
            </w:pPr>
            <w:r>
              <w:rPr>
                <w:sz w:val="16"/>
                <w:szCs w:val="16"/>
              </w:rPr>
              <w:t>0.6</w:t>
            </w:r>
          </w:p>
        </w:tc>
        <w:tc>
          <w:tcPr>
            <w:tcW w:w="733" w:type="dxa"/>
            <w:tcBorders/>
            <w:vAlign w:val="center"/>
          </w:tcPr>
          <w:p>
            <w:pPr>
              <w:pStyle w:val="Normal"/>
              <w:widowControl w:val="false"/>
              <w:spacing w:before="0" w:after="160"/>
              <w:jc w:val="center"/>
              <w:rPr>
                <w:sz w:val="16"/>
                <w:szCs w:val="16"/>
              </w:rPr>
            </w:pPr>
            <w:r>
              <w:rPr>
                <w:sz w:val="16"/>
                <w:szCs w:val="16"/>
              </w:rPr>
              <w:t>0.59</w:t>
            </w:r>
          </w:p>
        </w:tc>
        <w:tc>
          <w:tcPr>
            <w:tcW w:w="629" w:type="dxa"/>
            <w:tcBorders/>
            <w:vAlign w:val="center"/>
          </w:tcPr>
          <w:p>
            <w:pPr>
              <w:pStyle w:val="Normal"/>
              <w:widowControl w:val="false"/>
              <w:spacing w:before="0" w:after="160"/>
              <w:jc w:val="center"/>
              <w:rPr>
                <w:sz w:val="16"/>
                <w:szCs w:val="16"/>
              </w:rPr>
            </w:pPr>
            <w:r>
              <w:rPr>
                <w:sz w:val="16"/>
                <w:szCs w:val="16"/>
              </w:rPr>
              <w:t>0.31</w:t>
            </w:r>
          </w:p>
        </w:tc>
        <w:tc>
          <w:tcPr>
            <w:tcW w:w="1482" w:type="dxa"/>
            <w:tcBorders/>
            <w:vAlign w:val="center"/>
          </w:tcPr>
          <w:p>
            <w:pPr>
              <w:pStyle w:val="Normal"/>
              <w:widowControl w:val="false"/>
              <w:spacing w:before="0" w:after="160"/>
              <w:jc w:val="center"/>
              <w:rPr>
                <w:sz w:val="16"/>
                <w:szCs w:val="16"/>
              </w:rPr>
            </w:pPr>
            <w:r>
              <w:rPr>
                <w:sz w:val="16"/>
                <w:szCs w:val="16"/>
              </w:rPr>
              <w:t>1</w:t>
            </w:r>
          </w:p>
        </w:tc>
      </w:tr>
    </w:tbl>
    <w:p>
      <w:pPr>
        <w:pStyle w:val="Normal"/>
        <w:rPr>
          <w:lang w:val="en-US"/>
        </w:rPr>
      </w:pPr>
      <w:r>
        <w:rPr>
          <w:lang w:val="en-US"/>
        </w:rPr>
      </w:r>
    </w:p>
    <w:p>
      <w:pPr>
        <w:pStyle w:val="Normal"/>
        <w:jc w:val="both"/>
        <w:rPr>
          <w:lang w:val="en-US"/>
        </w:rPr>
      </w:pPr>
      <w:r>
        <w:rPr>
          <w:lang w:val="en-US"/>
        </w:rPr>
      </w:r>
      <w:r>
        <w:br w:type="page"/>
      </w:r>
    </w:p>
    <w:p>
      <w:pPr>
        <w:pStyle w:val="Normal"/>
        <w:jc w:val="both"/>
        <w:rPr/>
      </w:pPr>
      <w:r>
        <w:rPr/>
        <w:t>Table 3. Comparison of effect sizes (Z</w:t>
      </w:r>
      <w:r>
        <w:rPr>
          <w:vertAlign w:val="subscript"/>
        </w:rPr>
        <w:t>PLS</w:t>
      </w:r>
      <w:r>
        <w:rPr/>
        <w:t>) from r-PLS integration analyses. Significant difference</w:t>
      </w:r>
      <w:r>
        <w:rPr>
          <w:lang w:val="en-US"/>
        </w:rPr>
        <w:t>s</w:t>
      </w:r>
      <w:r>
        <w:rPr/>
        <w:t xml:space="preserve"> are highlighted in bold.</w:t>
      </w:r>
    </w:p>
    <w:tbl>
      <w:tblPr>
        <w:tblW w:w="8855" w:type="dxa"/>
        <w:jc w:val="left"/>
        <w:tblInd w:w="30" w:type="dxa"/>
        <w:tblLayout w:type="fixed"/>
        <w:tblCellMar>
          <w:top w:w="0" w:type="dxa"/>
          <w:left w:w="30" w:type="dxa"/>
          <w:bottom w:w="0" w:type="dxa"/>
          <w:right w:w="30" w:type="dxa"/>
        </w:tblCellMar>
        <w:tblLook w:val="04a0" w:noHBand="0" w:noVBand="1" w:firstColumn="1" w:lastRow="0" w:lastColumn="0" w:firstRow="1"/>
      </w:tblPr>
      <w:tblGrid>
        <w:gridCol w:w="1074"/>
        <w:gridCol w:w="913"/>
        <w:gridCol w:w="903"/>
        <w:gridCol w:w="1201"/>
        <w:gridCol w:w="1410"/>
        <w:gridCol w:w="964"/>
        <w:gridCol w:w="1075"/>
        <w:gridCol w:w="1314"/>
      </w:tblGrid>
      <w:tr>
        <w:trPr>
          <w:trHeight w:val="256" w:hRule="atLeast"/>
        </w:trPr>
        <w:tc>
          <w:tcPr>
            <w:tcW w:w="1074" w:type="dxa"/>
            <w:tcBorders/>
            <w:vAlign w:val="bottom"/>
          </w:tcPr>
          <w:p>
            <w:pPr>
              <w:pStyle w:val="Normal"/>
              <w:widowControl w:val="false"/>
              <w:spacing w:before="0" w:after="160"/>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A. Effect sizes (ZPLS) for each partition.</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913" w:type="dxa"/>
            <w:tcBorders/>
            <w:vAlign w:val="bottom"/>
          </w:tcPr>
          <w:p>
            <w:pPr>
              <w:pStyle w:val="Normal"/>
              <w:widowControl w:val="false"/>
              <w:spacing w:before="0" w:after="160"/>
              <w:jc w:val="center"/>
              <w:rPr>
                <w:sz w:val="16"/>
                <w:szCs w:val="16"/>
              </w:rPr>
            </w:pPr>
            <w:r>
              <w:rPr>
                <w:sz w:val="16"/>
                <w:szCs w:val="16"/>
              </w:rPr>
              <w:t>Head-Mandibles</w:t>
            </w:r>
          </w:p>
        </w:tc>
        <w:tc>
          <w:tcPr>
            <w:tcW w:w="903" w:type="dxa"/>
            <w:tcBorders/>
            <w:vAlign w:val="bottom"/>
          </w:tcPr>
          <w:p>
            <w:pPr>
              <w:pStyle w:val="Normal"/>
              <w:widowControl w:val="false"/>
              <w:spacing w:before="0" w:after="160"/>
              <w:jc w:val="center"/>
              <w:rPr>
                <w:sz w:val="16"/>
                <w:szCs w:val="16"/>
              </w:rPr>
            </w:pPr>
            <w:r>
              <w:rPr>
                <w:sz w:val="16"/>
                <w:szCs w:val="16"/>
              </w:rPr>
              <w:t>Head-Mandibles-Sensory</w:t>
            </w:r>
          </w:p>
        </w:tc>
        <w:tc>
          <w:tcPr>
            <w:tcW w:w="1201" w:type="dxa"/>
            <w:tcBorders/>
            <w:vAlign w:val="bottom"/>
          </w:tcPr>
          <w:p>
            <w:pPr>
              <w:pStyle w:val="Normal"/>
              <w:widowControl w:val="false"/>
              <w:spacing w:before="0" w:after="160"/>
              <w:jc w:val="center"/>
              <w:rPr>
                <w:sz w:val="16"/>
                <w:szCs w:val="16"/>
              </w:rPr>
            </w:pPr>
            <w:r>
              <w:rPr>
                <w:sz w:val="16"/>
                <w:szCs w:val="16"/>
              </w:rPr>
              <w:t>Head-Mandibles asymmetric</w:t>
            </w:r>
          </w:p>
        </w:tc>
        <w:tc>
          <w:tcPr>
            <w:tcW w:w="1410"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64" w:type="dxa"/>
            <w:tcBorders/>
            <w:vAlign w:val="bottom"/>
          </w:tcPr>
          <w:p>
            <w:pPr>
              <w:pStyle w:val="Normal"/>
              <w:widowControl w:val="false"/>
              <w:spacing w:before="0" w:after="160"/>
              <w:jc w:val="center"/>
              <w:rPr>
                <w:sz w:val="16"/>
                <w:szCs w:val="16"/>
              </w:rPr>
            </w:pPr>
            <w:r>
              <w:rPr>
                <w:sz w:val="16"/>
                <w:szCs w:val="16"/>
              </w:rPr>
              <w:t>Ventral-Dorsal</w:t>
            </w:r>
          </w:p>
        </w:tc>
        <w:tc>
          <w:tcPr>
            <w:tcW w:w="1075" w:type="dxa"/>
            <w:tcBorders/>
            <w:vAlign w:val="bottom"/>
          </w:tcPr>
          <w:p>
            <w:pPr>
              <w:pStyle w:val="Normal"/>
              <w:widowControl w:val="false"/>
              <w:spacing w:before="0" w:after="160"/>
              <w:jc w:val="center"/>
              <w:rPr>
                <w:sz w:val="16"/>
                <w:szCs w:val="16"/>
              </w:rPr>
            </w:pPr>
            <w:r>
              <w:rPr>
                <w:sz w:val="16"/>
                <w:szCs w:val="16"/>
              </w:rPr>
              <w:t>Half-Half</w:t>
            </w:r>
          </w:p>
        </w:tc>
        <w:tc>
          <w:tcPr>
            <w:tcW w:w="1314" w:type="dxa"/>
            <w:tcBorders/>
            <w:vAlign w:val="bottom"/>
          </w:tcPr>
          <w:p>
            <w:pPr>
              <w:pStyle w:val="Normal"/>
              <w:widowControl w:val="false"/>
              <w:spacing w:before="0" w:after="160"/>
              <w:jc w:val="center"/>
              <w:rPr>
                <w:sz w:val="16"/>
                <w:szCs w:val="16"/>
              </w:rPr>
            </w:pPr>
            <w:r>
              <w:rPr>
                <w:sz w:val="16"/>
                <w:szCs w:val="16"/>
              </w:rPr>
              <w:t>Mandibles only</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913" w:type="dxa"/>
            <w:tcBorders/>
            <w:vAlign w:val="bottom"/>
          </w:tcPr>
          <w:p>
            <w:pPr>
              <w:pStyle w:val="Normal"/>
              <w:widowControl w:val="false"/>
              <w:spacing w:before="0" w:after="160"/>
              <w:jc w:val="center"/>
              <w:rPr>
                <w:sz w:val="16"/>
                <w:szCs w:val="16"/>
              </w:rPr>
            </w:pPr>
            <w:r>
              <w:rPr>
                <w:sz w:val="16"/>
                <w:szCs w:val="16"/>
              </w:rPr>
              <w:t>2.75624</w:t>
            </w:r>
          </w:p>
        </w:tc>
        <w:tc>
          <w:tcPr>
            <w:tcW w:w="903" w:type="dxa"/>
            <w:tcBorders/>
            <w:vAlign w:val="bottom"/>
          </w:tcPr>
          <w:p>
            <w:pPr>
              <w:pStyle w:val="Normal"/>
              <w:widowControl w:val="false"/>
              <w:spacing w:before="0" w:after="160"/>
              <w:jc w:val="center"/>
              <w:rPr>
                <w:sz w:val="16"/>
                <w:szCs w:val="16"/>
              </w:rPr>
            </w:pPr>
            <w:r>
              <w:rPr>
                <w:sz w:val="16"/>
                <w:szCs w:val="16"/>
              </w:rPr>
              <w:t>4.18681</w:t>
            </w:r>
          </w:p>
        </w:tc>
        <w:tc>
          <w:tcPr>
            <w:tcW w:w="1201" w:type="dxa"/>
            <w:tcBorders/>
            <w:vAlign w:val="bottom"/>
          </w:tcPr>
          <w:p>
            <w:pPr>
              <w:pStyle w:val="Normal"/>
              <w:widowControl w:val="false"/>
              <w:spacing w:before="0" w:after="160"/>
              <w:jc w:val="center"/>
              <w:rPr>
                <w:sz w:val="16"/>
                <w:szCs w:val="16"/>
              </w:rPr>
            </w:pPr>
            <w:r>
              <w:rPr>
                <w:sz w:val="16"/>
                <w:szCs w:val="16"/>
              </w:rPr>
              <w:t>3.11687</w:t>
            </w:r>
          </w:p>
        </w:tc>
        <w:tc>
          <w:tcPr>
            <w:tcW w:w="1410" w:type="dxa"/>
            <w:tcBorders/>
            <w:vAlign w:val="bottom"/>
          </w:tcPr>
          <w:p>
            <w:pPr>
              <w:pStyle w:val="Normal"/>
              <w:widowControl w:val="false"/>
              <w:spacing w:before="0" w:after="160"/>
              <w:jc w:val="center"/>
              <w:rPr>
                <w:sz w:val="16"/>
                <w:szCs w:val="16"/>
              </w:rPr>
            </w:pPr>
            <w:r>
              <w:rPr>
                <w:sz w:val="16"/>
                <w:szCs w:val="16"/>
              </w:rPr>
              <w:t>4.01071</w:t>
            </w:r>
          </w:p>
        </w:tc>
        <w:tc>
          <w:tcPr>
            <w:tcW w:w="964" w:type="dxa"/>
            <w:tcBorders/>
            <w:vAlign w:val="bottom"/>
          </w:tcPr>
          <w:p>
            <w:pPr>
              <w:pStyle w:val="Normal"/>
              <w:widowControl w:val="false"/>
              <w:spacing w:before="0" w:after="160"/>
              <w:jc w:val="center"/>
              <w:rPr>
                <w:sz w:val="16"/>
                <w:szCs w:val="16"/>
              </w:rPr>
            </w:pPr>
            <w:r>
              <w:rPr>
                <w:sz w:val="16"/>
                <w:szCs w:val="16"/>
              </w:rPr>
              <w:t>2.17762</w:t>
            </w:r>
          </w:p>
        </w:tc>
        <w:tc>
          <w:tcPr>
            <w:tcW w:w="1075" w:type="dxa"/>
            <w:tcBorders/>
            <w:vAlign w:val="bottom"/>
          </w:tcPr>
          <w:p>
            <w:pPr>
              <w:pStyle w:val="Normal"/>
              <w:widowControl w:val="false"/>
              <w:spacing w:before="0" w:after="160"/>
              <w:jc w:val="center"/>
              <w:rPr>
                <w:sz w:val="16"/>
                <w:szCs w:val="16"/>
              </w:rPr>
            </w:pPr>
            <w:r>
              <w:rPr>
                <w:sz w:val="16"/>
                <w:szCs w:val="16"/>
              </w:rPr>
              <w:t>5.15903</w:t>
            </w:r>
          </w:p>
        </w:tc>
        <w:tc>
          <w:tcPr>
            <w:tcW w:w="1314" w:type="dxa"/>
            <w:tcBorders/>
            <w:vAlign w:val="bottom"/>
          </w:tcPr>
          <w:p>
            <w:pPr>
              <w:pStyle w:val="Normal"/>
              <w:widowControl w:val="false"/>
              <w:spacing w:before="0" w:after="160"/>
              <w:jc w:val="center"/>
              <w:rPr>
                <w:sz w:val="16"/>
                <w:szCs w:val="16"/>
              </w:rPr>
            </w:pPr>
            <w:r>
              <w:rPr>
                <w:sz w:val="16"/>
                <w:szCs w:val="16"/>
              </w:rPr>
              <w:t>5.31365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B. Pairwise differences in ZPLS between partitions.</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w:t>
            </w:r>
          </w:p>
        </w:tc>
        <w:tc>
          <w:tcPr>
            <w:tcW w:w="913" w:type="dxa"/>
            <w:tcBorders/>
            <w:vAlign w:val="bottom"/>
          </w:tcPr>
          <w:p>
            <w:pPr>
              <w:pStyle w:val="Normal"/>
              <w:widowControl w:val="false"/>
              <w:spacing w:before="0" w:after="160"/>
              <w:jc w:val="center"/>
              <w:rPr>
                <w:sz w:val="16"/>
                <w:szCs w:val="16"/>
              </w:rPr>
            </w:pPr>
            <w:r>
              <w:rPr>
                <w:sz w:val="16"/>
                <w:szCs w:val="16"/>
              </w:rPr>
              <w:t>0</w:t>
            </w:r>
          </w:p>
        </w:tc>
        <w:tc>
          <w:tcPr>
            <w:tcW w:w="903" w:type="dxa"/>
            <w:tcBorders/>
            <w:vAlign w:val="bottom"/>
          </w:tcPr>
          <w:p>
            <w:pPr>
              <w:pStyle w:val="Normal"/>
              <w:widowControl w:val="false"/>
              <w:spacing w:before="0" w:after="160"/>
              <w:jc w:val="center"/>
              <w:rPr>
                <w:sz w:val="16"/>
                <w:szCs w:val="16"/>
              </w:rPr>
            </w:pPr>
            <w:r>
              <w:rPr>
                <w:sz w:val="16"/>
                <w:szCs w:val="16"/>
              </w:rPr>
              <w:t>0.18549</w:t>
            </w:r>
          </w:p>
        </w:tc>
        <w:tc>
          <w:tcPr>
            <w:tcW w:w="1201" w:type="dxa"/>
            <w:tcBorders/>
            <w:vAlign w:val="bottom"/>
          </w:tcPr>
          <w:p>
            <w:pPr>
              <w:pStyle w:val="Normal"/>
              <w:widowControl w:val="false"/>
              <w:spacing w:before="0" w:after="160"/>
              <w:jc w:val="center"/>
              <w:rPr>
                <w:sz w:val="16"/>
                <w:szCs w:val="16"/>
              </w:rPr>
            </w:pPr>
            <w:r>
              <w:rPr>
                <w:sz w:val="16"/>
                <w:szCs w:val="16"/>
              </w:rPr>
              <w:t>0.63877</w:t>
            </w:r>
          </w:p>
        </w:tc>
        <w:tc>
          <w:tcPr>
            <w:tcW w:w="1410" w:type="dxa"/>
            <w:tcBorders/>
            <w:vAlign w:val="bottom"/>
          </w:tcPr>
          <w:p>
            <w:pPr>
              <w:pStyle w:val="Normal"/>
              <w:widowControl w:val="false"/>
              <w:spacing w:before="0" w:after="160"/>
              <w:jc w:val="center"/>
              <w:rPr>
                <w:sz w:val="16"/>
                <w:szCs w:val="16"/>
              </w:rPr>
            </w:pPr>
            <w:r>
              <w:rPr>
                <w:sz w:val="16"/>
                <w:szCs w:val="16"/>
              </w:rPr>
              <w:t>0.00469</w:t>
            </w:r>
          </w:p>
        </w:tc>
        <w:tc>
          <w:tcPr>
            <w:tcW w:w="964" w:type="dxa"/>
            <w:tcBorders/>
            <w:vAlign w:val="bottom"/>
          </w:tcPr>
          <w:p>
            <w:pPr>
              <w:pStyle w:val="Normal"/>
              <w:widowControl w:val="false"/>
              <w:spacing w:before="0" w:after="160"/>
              <w:jc w:val="center"/>
              <w:rPr>
                <w:sz w:val="16"/>
                <w:szCs w:val="16"/>
              </w:rPr>
            </w:pPr>
            <w:r>
              <w:rPr>
                <w:sz w:val="16"/>
                <w:szCs w:val="16"/>
              </w:rPr>
              <w:t>0.37715</w:t>
            </w:r>
          </w:p>
        </w:tc>
        <w:tc>
          <w:tcPr>
            <w:tcW w:w="1075" w:type="dxa"/>
            <w:tcBorders/>
            <w:vAlign w:val="bottom"/>
          </w:tcPr>
          <w:p>
            <w:pPr>
              <w:pStyle w:val="Normal"/>
              <w:widowControl w:val="false"/>
              <w:spacing w:before="0" w:after="160"/>
              <w:jc w:val="center"/>
              <w:rPr>
                <w:sz w:val="16"/>
                <w:szCs w:val="16"/>
              </w:rPr>
            </w:pPr>
            <w:r>
              <w:rPr>
                <w:sz w:val="16"/>
                <w:szCs w:val="16"/>
              </w:rPr>
              <w:t>1.57656</w:t>
            </w:r>
          </w:p>
        </w:tc>
        <w:tc>
          <w:tcPr>
            <w:tcW w:w="1314" w:type="dxa"/>
            <w:tcBorders/>
            <w:vAlign w:val="bottom"/>
          </w:tcPr>
          <w:p>
            <w:pPr>
              <w:pStyle w:val="Normal"/>
              <w:widowControl w:val="false"/>
              <w:spacing w:before="0" w:after="160"/>
              <w:jc w:val="center"/>
              <w:rPr>
                <w:b/>
                <w:b/>
                <w:bCs/>
                <w:sz w:val="16"/>
                <w:szCs w:val="16"/>
              </w:rPr>
            </w:pPr>
            <w:r>
              <w:rPr>
                <w:b/>
                <w:bCs/>
                <w:sz w:val="16"/>
                <w:szCs w:val="16"/>
              </w:rPr>
              <w:t>2.10529</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Head-Mandibles-Sensory</w:t>
            </w:r>
          </w:p>
        </w:tc>
        <w:tc>
          <w:tcPr>
            <w:tcW w:w="913" w:type="dxa"/>
            <w:tcBorders/>
            <w:vAlign w:val="bottom"/>
          </w:tcPr>
          <w:p>
            <w:pPr>
              <w:pStyle w:val="Normal"/>
              <w:widowControl w:val="false"/>
              <w:spacing w:before="0" w:after="160"/>
              <w:jc w:val="center"/>
              <w:rPr>
                <w:sz w:val="16"/>
                <w:szCs w:val="16"/>
              </w:rPr>
            </w:pPr>
            <w:r>
              <w:rPr>
                <w:sz w:val="16"/>
                <w:szCs w:val="16"/>
              </w:rPr>
              <w:t>0.18549</w:t>
            </w:r>
          </w:p>
        </w:tc>
        <w:tc>
          <w:tcPr>
            <w:tcW w:w="903" w:type="dxa"/>
            <w:tcBorders/>
            <w:vAlign w:val="bottom"/>
          </w:tcPr>
          <w:p>
            <w:pPr>
              <w:pStyle w:val="Normal"/>
              <w:widowControl w:val="false"/>
              <w:spacing w:before="0" w:after="160"/>
              <w:jc w:val="center"/>
              <w:rPr>
                <w:sz w:val="16"/>
                <w:szCs w:val="16"/>
              </w:rPr>
            </w:pPr>
            <w:r>
              <w:rPr>
                <w:sz w:val="16"/>
                <w:szCs w:val="16"/>
              </w:rPr>
              <w:t>0</w:t>
            </w:r>
          </w:p>
        </w:tc>
        <w:tc>
          <w:tcPr>
            <w:tcW w:w="1201" w:type="dxa"/>
            <w:tcBorders/>
            <w:vAlign w:val="bottom"/>
          </w:tcPr>
          <w:p>
            <w:pPr>
              <w:pStyle w:val="Normal"/>
              <w:widowControl w:val="false"/>
              <w:spacing w:before="0" w:after="160"/>
              <w:jc w:val="center"/>
              <w:rPr>
                <w:sz w:val="16"/>
                <w:szCs w:val="16"/>
              </w:rPr>
            </w:pPr>
            <w:r>
              <w:rPr>
                <w:sz w:val="16"/>
                <w:szCs w:val="16"/>
              </w:rPr>
              <w:t>1.0292</w:t>
            </w:r>
          </w:p>
        </w:tc>
        <w:tc>
          <w:tcPr>
            <w:tcW w:w="1410" w:type="dxa"/>
            <w:tcBorders/>
            <w:vAlign w:val="bottom"/>
          </w:tcPr>
          <w:p>
            <w:pPr>
              <w:pStyle w:val="Normal"/>
              <w:widowControl w:val="false"/>
              <w:spacing w:before="0" w:after="160"/>
              <w:jc w:val="center"/>
              <w:rPr>
                <w:sz w:val="16"/>
                <w:szCs w:val="16"/>
              </w:rPr>
            </w:pPr>
            <w:r>
              <w:rPr>
                <w:sz w:val="16"/>
                <w:szCs w:val="16"/>
              </w:rPr>
              <w:t>0.23604</w:t>
            </w:r>
          </w:p>
        </w:tc>
        <w:tc>
          <w:tcPr>
            <w:tcW w:w="964" w:type="dxa"/>
            <w:tcBorders/>
            <w:vAlign w:val="bottom"/>
          </w:tcPr>
          <w:p>
            <w:pPr>
              <w:pStyle w:val="Normal"/>
              <w:widowControl w:val="false"/>
              <w:spacing w:before="0" w:after="160"/>
              <w:jc w:val="center"/>
              <w:rPr>
                <w:sz w:val="16"/>
                <w:szCs w:val="16"/>
              </w:rPr>
            </w:pPr>
            <w:r>
              <w:rPr>
                <w:sz w:val="16"/>
                <w:szCs w:val="16"/>
              </w:rPr>
              <w:t>0.27588</w:t>
            </w:r>
          </w:p>
        </w:tc>
        <w:tc>
          <w:tcPr>
            <w:tcW w:w="1075" w:type="dxa"/>
            <w:tcBorders/>
            <w:vAlign w:val="bottom"/>
          </w:tcPr>
          <w:p>
            <w:pPr>
              <w:pStyle w:val="Normal"/>
              <w:widowControl w:val="false"/>
              <w:spacing w:before="0" w:after="160"/>
              <w:jc w:val="center"/>
              <w:rPr>
                <w:sz w:val="16"/>
                <w:szCs w:val="16"/>
              </w:rPr>
            </w:pPr>
            <w:r>
              <w:rPr>
                <w:sz w:val="16"/>
                <w:szCs w:val="16"/>
              </w:rPr>
              <w:t>1.63784</w:t>
            </w:r>
          </w:p>
        </w:tc>
        <w:tc>
          <w:tcPr>
            <w:tcW w:w="1314" w:type="dxa"/>
            <w:tcBorders/>
            <w:vAlign w:val="bottom"/>
          </w:tcPr>
          <w:p>
            <w:pPr>
              <w:pStyle w:val="Normal"/>
              <w:widowControl w:val="false"/>
              <w:spacing w:before="0" w:after="160"/>
              <w:jc w:val="center"/>
              <w:rPr>
                <w:b/>
                <w:b/>
                <w:bCs/>
                <w:sz w:val="16"/>
                <w:szCs w:val="16"/>
              </w:rPr>
            </w:pPr>
            <w:r>
              <w:rPr>
                <w:b/>
                <w:bCs/>
                <w:sz w:val="16"/>
                <w:szCs w:val="16"/>
              </w:rPr>
              <w:t>2.21155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w:t>
            </w:r>
          </w:p>
        </w:tc>
        <w:tc>
          <w:tcPr>
            <w:tcW w:w="913" w:type="dxa"/>
            <w:tcBorders/>
            <w:vAlign w:val="bottom"/>
          </w:tcPr>
          <w:p>
            <w:pPr>
              <w:pStyle w:val="Normal"/>
              <w:widowControl w:val="false"/>
              <w:spacing w:before="0" w:after="160"/>
              <w:jc w:val="center"/>
              <w:rPr>
                <w:sz w:val="16"/>
                <w:szCs w:val="16"/>
              </w:rPr>
            </w:pPr>
            <w:r>
              <w:rPr>
                <w:sz w:val="16"/>
                <w:szCs w:val="16"/>
              </w:rPr>
              <w:t>0.63877</w:t>
            </w:r>
          </w:p>
        </w:tc>
        <w:tc>
          <w:tcPr>
            <w:tcW w:w="903" w:type="dxa"/>
            <w:tcBorders/>
            <w:vAlign w:val="bottom"/>
          </w:tcPr>
          <w:p>
            <w:pPr>
              <w:pStyle w:val="Normal"/>
              <w:widowControl w:val="false"/>
              <w:spacing w:before="0" w:after="160"/>
              <w:jc w:val="center"/>
              <w:rPr>
                <w:sz w:val="16"/>
                <w:szCs w:val="16"/>
              </w:rPr>
            </w:pPr>
            <w:r>
              <w:rPr>
                <w:sz w:val="16"/>
                <w:szCs w:val="16"/>
              </w:rPr>
              <w:t>1.0292</w:t>
            </w:r>
          </w:p>
        </w:tc>
        <w:tc>
          <w:tcPr>
            <w:tcW w:w="1201" w:type="dxa"/>
            <w:tcBorders/>
            <w:vAlign w:val="bottom"/>
          </w:tcPr>
          <w:p>
            <w:pPr>
              <w:pStyle w:val="Normal"/>
              <w:widowControl w:val="false"/>
              <w:spacing w:before="0" w:after="160"/>
              <w:jc w:val="center"/>
              <w:rPr>
                <w:sz w:val="16"/>
                <w:szCs w:val="16"/>
              </w:rPr>
            </w:pPr>
            <w:r>
              <w:rPr>
                <w:sz w:val="16"/>
                <w:szCs w:val="16"/>
              </w:rPr>
              <w:t>0</w:t>
            </w:r>
          </w:p>
        </w:tc>
        <w:tc>
          <w:tcPr>
            <w:tcW w:w="1410" w:type="dxa"/>
            <w:tcBorders/>
            <w:vAlign w:val="bottom"/>
          </w:tcPr>
          <w:p>
            <w:pPr>
              <w:pStyle w:val="Normal"/>
              <w:widowControl w:val="false"/>
              <w:spacing w:before="0" w:after="160"/>
              <w:jc w:val="center"/>
              <w:rPr>
                <w:sz w:val="16"/>
                <w:szCs w:val="16"/>
              </w:rPr>
            </w:pPr>
            <w:r>
              <w:rPr>
                <w:sz w:val="16"/>
                <w:szCs w:val="16"/>
              </w:rPr>
              <w:t>0.80223</w:t>
            </w:r>
          </w:p>
        </w:tc>
        <w:tc>
          <w:tcPr>
            <w:tcW w:w="964" w:type="dxa"/>
            <w:tcBorders/>
            <w:vAlign w:val="bottom"/>
          </w:tcPr>
          <w:p>
            <w:pPr>
              <w:pStyle w:val="Normal"/>
              <w:widowControl w:val="false"/>
              <w:spacing w:before="0" w:after="160"/>
              <w:jc w:val="center"/>
              <w:rPr>
                <w:sz w:val="16"/>
                <w:szCs w:val="16"/>
              </w:rPr>
            </w:pPr>
            <w:r>
              <w:rPr>
                <w:sz w:val="16"/>
                <w:szCs w:val="16"/>
              </w:rPr>
              <w:t>0.85547</w:t>
            </w:r>
          </w:p>
        </w:tc>
        <w:tc>
          <w:tcPr>
            <w:tcW w:w="1075" w:type="dxa"/>
            <w:tcBorders/>
            <w:vAlign w:val="bottom"/>
          </w:tcPr>
          <w:p>
            <w:pPr>
              <w:pStyle w:val="Normal"/>
              <w:widowControl w:val="false"/>
              <w:spacing w:before="0" w:after="160"/>
              <w:jc w:val="center"/>
              <w:rPr>
                <w:b/>
                <w:b/>
                <w:bCs/>
                <w:sz w:val="16"/>
                <w:szCs w:val="16"/>
              </w:rPr>
            </w:pPr>
            <w:r>
              <w:rPr>
                <w:b/>
                <w:bCs/>
                <w:sz w:val="16"/>
                <w:szCs w:val="16"/>
              </w:rPr>
              <w:t>2.55307</w:t>
            </w:r>
          </w:p>
        </w:tc>
        <w:tc>
          <w:tcPr>
            <w:tcW w:w="1314" w:type="dxa"/>
            <w:tcBorders/>
            <w:vAlign w:val="bottom"/>
          </w:tcPr>
          <w:p>
            <w:pPr>
              <w:pStyle w:val="Normal"/>
              <w:widowControl w:val="false"/>
              <w:spacing w:before="0" w:after="160"/>
              <w:jc w:val="center"/>
              <w:rPr>
                <w:b/>
                <w:b/>
                <w:bCs/>
                <w:sz w:val="16"/>
                <w:szCs w:val="16"/>
              </w:rPr>
            </w:pPr>
            <w:r>
              <w:rPr>
                <w:b/>
                <w:bCs/>
                <w:sz w:val="16"/>
                <w:szCs w:val="16"/>
              </w:rPr>
              <w:t>3.04515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spacing w:before="0" w:after="160"/>
              <w:jc w:val="center"/>
              <w:rPr>
                <w:sz w:val="16"/>
                <w:szCs w:val="16"/>
              </w:rPr>
            </w:pPr>
            <w:r>
              <w:rPr>
                <w:sz w:val="16"/>
                <w:szCs w:val="16"/>
              </w:rPr>
              <w:t>0.00469</w:t>
            </w:r>
          </w:p>
        </w:tc>
        <w:tc>
          <w:tcPr>
            <w:tcW w:w="903" w:type="dxa"/>
            <w:tcBorders/>
            <w:vAlign w:val="bottom"/>
          </w:tcPr>
          <w:p>
            <w:pPr>
              <w:pStyle w:val="Normal"/>
              <w:widowControl w:val="false"/>
              <w:spacing w:before="0" w:after="160"/>
              <w:jc w:val="center"/>
              <w:rPr>
                <w:sz w:val="16"/>
                <w:szCs w:val="16"/>
              </w:rPr>
            </w:pPr>
            <w:r>
              <w:rPr>
                <w:sz w:val="16"/>
                <w:szCs w:val="16"/>
              </w:rPr>
              <w:t>0.23604</w:t>
            </w:r>
          </w:p>
        </w:tc>
        <w:tc>
          <w:tcPr>
            <w:tcW w:w="1201" w:type="dxa"/>
            <w:tcBorders/>
            <w:vAlign w:val="bottom"/>
          </w:tcPr>
          <w:p>
            <w:pPr>
              <w:pStyle w:val="Normal"/>
              <w:widowControl w:val="false"/>
              <w:spacing w:before="0" w:after="160"/>
              <w:jc w:val="center"/>
              <w:rPr>
                <w:sz w:val="16"/>
                <w:szCs w:val="16"/>
              </w:rPr>
            </w:pPr>
            <w:r>
              <w:rPr>
                <w:sz w:val="16"/>
                <w:szCs w:val="16"/>
              </w:rPr>
              <w:t>0.80223</w:t>
            </w:r>
          </w:p>
        </w:tc>
        <w:tc>
          <w:tcPr>
            <w:tcW w:w="1410" w:type="dxa"/>
            <w:tcBorders/>
            <w:vAlign w:val="bottom"/>
          </w:tcPr>
          <w:p>
            <w:pPr>
              <w:pStyle w:val="Normal"/>
              <w:widowControl w:val="false"/>
              <w:spacing w:before="0" w:after="160"/>
              <w:jc w:val="center"/>
              <w:rPr>
                <w:sz w:val="16"/>
                <w:szCs w:val="16"/>
              </w:rPr>
            </w:pPr>
            <w:r>
              <w:rPr>
                <w:sz w:val="16"/>
                <w:szCs w:val="16"/>
              </w:rPr>
              <w:t>0</w:t>
            </w:r>
          </w:p>
        </w:tc>
        <w:tc>
          <w:tcPr>
            <w:tcW w:w="964" w:type="dxa"/>
            <w:tcBorders/>
            <w:vAlign w:val="bottom"/>
          </w:tcPr>
          <w:p>
            <w:pPr>
              <w:pStyle w:val="Normal"/>
              <w:widowControl w:val="false"/>
              <w:spacing w:before="0" w:after="160"/>
              <w:jc w:val="center"/>
              <w:rPr>
                <w:sz w:val="16"/>
                <w:szCs w:val="16"/>
              </w:rPr>
            </w:pPr>
            <w:r>
              <w:rPr>
                <w:sz w:val="16"/>
                <w:szCs w:val="16"/>
              </w:rPr>
              <w:t>0.41235</w:t>
            </w:r>
          </w:p>
        </w:tc>
        <w:tc>
          <w:tcPr>
            <w:tcW w:w="1075" w:type="dxa"/>
            <w:tcBorders/>
            <w:vAlign w:val="bottom"/>
          </w:tcPr>
          <w:p>
            <w:pPr>
              <w:pStyle w:val="Normal"/>
              <w:widowControl w:val="false"/>
              <w:spacing w:before="0" w:after="160"/>
              <w:jc w:val="center"/>
              <w:rPr>
                <w:sz w:val="16"/>
                <w:szCs w:val="16"/>
              </w:rPr>
            </w:pPr>
            <w:r>
              <w:rPr>
                <w:sz w:val="16"/>
                <w:szCs w:val="16"/>
              </w:rPr>
              <w:t>1.85817</w:t>
            </w:r>
          </w:p>
        </w:tc>
        <w:tc>
          <w:tcPr>
            <w:tcW w:w="1314" w:type="dxa"/>
            <w:tcBorders/>
            <w:vAlign w:val="bottom"/>
          </w:tcPr>
          <w:p>
            <w:pPr>
              <w:pStyle w:val="Normal"/>
              <w:widowControl w:val="false"/>
              <w:spacing w:before="0" w:after="160"/>
              <w:jc w:val="center"/>
              <w:rPr>
                <w:b/>
                <w:b/>
                <w:bCs/>
                <w:sz w:val="16"/>
                <w:szCs w:val="16"/>
              </w:rPr>
            </w:pPr>
            <w:r>
              <w:rPr>
                <w:b/>
                <w:bCs/>
                <w:sz w:val="16"/>
                <w:szCs w:val="16"/>
              </w:rPr>
              <w:t>2.41466</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Ventral-Dorsal</w:t>
            </w:r>
          </w:p>
        </w:tc>
        <w:tc>
          <w:tcPr>
            <w:tcW w:w="913" w:type="dxa"/>
            <w:tcBorders/>
            <w:vAlign w:val="bottom"/>
          </w:tcPr>
          <w:p>
            <w:pPr>
              <w:pStyle w:val="Normal"/>
              <w:widowControl w:val="false"/>
              <w:spacing w:before="0" w:after="160"/>
              <w:jc w:val="center"/>
              <w:rPr>
                <w:sz w:val="16"/>
                <w:szCs w:val="16"/>
              </w:rPr>
            </w:pPr>
            <w:r>
              <w:rPr>
                <w:sz w:val="16"/>
                <w:szCs w:val="16"/>
              </w:rPr>
              <w:t>0.37715</w:t>
            </w:r>
          </w:p>
        </w:tc>
        <w:tc>
          <w:tcPr>
            <w:tcW w:w="903" w:type="dxa"/>
            <w:tcBorders/>
            <w:vAlign w:val="bottom"/>
          </w:tcPr>
          <w:p>
            <w:pPr>
              <w:pStyle w:val="Normal"/>
              <w:widowControl w:val="false"/>
              <w:spacing w:before="0" w:after="160"/>
              <w:jc w:val="center"/>
              <w:rPr>
                <w:sz w:val="16"/>
                <w:szCs w:val="16"/>
              </w:rPr>
            </w:pPr>
            <w:r>
              <w:rPr>
                <w:sz w:val="16"/>
                <w:szCs w:val="16"/>
              </w:rPr>
              <w:t>0.27588</w:t>
            </w:r>
          </w:p>
        </w:tc>
        <w:tc>
          <w:tcPr>
            <w:tcW w:w="1201" w:type="dxa"/>
            <w:tcBorders/>
            <w:vAlign w:val="bottom"/>
          </w:tcPr>
          <w:p>
            <w:pPr>
              <w:pStyle w:val="Normal"/>
              <w:widowControl w:val="false"/>
              <w:spacing w:before="0" w:after="160"/>
              <w:jc w:val="center"/>
              <w:rPr>
                <w:sz w:val="16"/>
                <w:szCs w:val="16"/>
              </w:rPr>
            </w:pPr>
            <w:r>
              <w:rPr>
                <w:sz w:val="16"/>
                <w:szCs w:val="16"/>
              </w:rPr>
              <w:t>0.85547</w:t>
            </w:r>
          </w:p>
        </w:tc>
        <w:tc>
          <w:tcPr>
            <w:tcW w:w="1410" w:type="dxa"/>
            <w:tcBorders/>
            <w:vAlign w:val="bottom"/>
          </w:tcPr>
          <w:p>
            <w:pPr>
              <w:pStyle w:val="Normal"/>
              <w:widowControl w:val="false"/>
              <w:spacing w:before="0" w:after="160"/>
              <w:jc w:val="center"/>
              <w:rPr>
                <w:sz w:val="16"/>
                <w:szCs w:val="16"/>
              </w:rPr>
            </w:pPr>
            <w:r>
              <w:rPr>
                <w:sz w:val="16"/>
                <w:szCs w:val="16"/>
              </w:rPr>
              <w:t>0.41235</w:t>
            </w:r>
          </w:p>
        </w:tc>
        <w:tc>
          <w:tcPr>
            <w:tcW w:w="964" w:type="dxa"/>
            <w:tcBorders/>
            <w:vAlign w:val="bottom"/>
          </w:tcPr>
          <w:p>
            <w:pPr>
              <w:pStyle w:val="Normal"/>
              <w:widowControl w:val="false"/>
              <w:spacing w:before="0" w:after="160"/>
              <w:jc w:val="center"/>
              <w:rPr>
                <w:sz w:val="16"/>
                <w:szCs w:val="16"/>
              </w:rPr>
            </w:pPr>
            <w:r>
              <w:rPr>
                <w:sz w:val="16"/>
                <w:szCs w:val="16"/>
              </w:rPr>
              <w:t>0</w:t>
            </w:r>
          </w:p>
        </w:tc>
        <w:tc>
          <w:tcPr>
            <w:tcW w:w="1075" w:type="dxa"/>
            <w:tcBorders/>
            <w:vAlign w:val="bottom"/>
          </w:tcPr>
          <w:p>
            <w:pPr>
              <w:pStyle w:val="Normal"/>
              <w:widowControl w:val="false"/>
              <w:spacing w:before="0" w:after="160"/>
              <w:jc w:val="center"/>
              <w:rPr>
                <w:sz w:val="16"/>
                <w:szCs w:val="16"/>
              </w:rPr>
            </w:pPr>
            <w:r>
              <w:rPr>
                <w:sz w:val="16"/>
                <w:szCs w:val="16"/>
              </w:rPr>
              <w:t>0.79362</w:t>
            </w:r>
          </w:p>
        </w:tc>
        <w:tc>
          <w:tcPr>
            <w:tcW w:w="1314" w:type="dxa"/>
            <w:tcBorders/>
            <w:vAlign w:val="bottom"/>
          </w:tcPr>
          <w:p>
            <w:pPr>
              <w:pStyle w:val="Normal"/>
              <w:widowControl w:val="false"/>
              <w:spacing w:before="0" w:after="160"/>
              <w:jc w:val="center"/>
              <w:rPr>
                <w:sz w:val="16"/>
                <w:szCs w:val="16"/>
              </w:rPr>
            </w:pPr>
            <w:r>
              <w:rPr>
                <w:sz w:val="16"/>
                <w:szCs w:val="16"/>
              </w:rPr>
              <w:t>1.25629</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Half-Half</w:t>
            </w:r>
          </w:p>
        </w:tc>
        <w:tc>
          <w:tcPr>
            <w:tcW w:w="913" w:type="dxa"/>
            <w:tcBorders/>
            <w:vAlign w:val="bottom"/>
          </w:tcPr>
          <w:p>
            <w:pPr>
              <w:pStyle w:val="Normal"/>
              <w:widowControl w:val="false"/>
              <w:spacing w:before="0" w:after="160"/>
              <w:jc w:val="center"/>
              <w:rPr>
                <w:sz w:val="16"/>
                <w:szCs w:val="16"/>
              </w:rPr>
            </w:pPr>
            <w:r>
              <w:rPr>
                <w:sz w:val="16"/>
                <w:szCs w:val="16"/>
              </w:rPr>
              <w:t>1.57656</w:t>
            </w:r>
          </w:p>
        </w:tc>
        <w:tc>
          <w:tcPr>
            <w:tcW w:w="903" w:type="dxa"/>
            <w:tcBorders/>
            <w:vAlign w:val="bottom"/>
          </w:tcPr>
          <w:p>
            <w:pPr>
              <w:pStyle w:val="Normal"/>
              <w:widowControl w:val="false"/>
              <w:spacing w:before="0" w:after="160"/>
              <w:jc w:val="center"/>
              <w:rPr>
                <w:sz w:val="16"/>
                <w:szCs w:val="16"/>
              </w:rPr>
            </w:pPr>
            <w:r>
              <w:rPr>
                <w:sz w:val="16"/>
                <w:szCs w:val="16"/>
              </w:rPr>
              <w:t>1.63784</w:t>
            </w:r>
          </w:p>
        </w:tc>
        <w:tc>
          <w:tcPr>
            <w:tcW w:w="1201" w:type="dxa"/>
            <w:tcBorders/>
            <w:vAlign w:val="bottom"/>
          </w:tcPr>
          <w:p>
            <w:pPr>
              <w:pStyle w:val="Normal"/>
              <w:widowControl w:val="false"/>
              <w:spacing w:before="0" w:after="160"/>
              <w:jc w:val="center"/>
              <w:rPr>
                <w:b/>
                <w:b/>
                <w:bCs/>
                <w:sz w:val="16"/>
                <w:szCs w:val="16"/>
              </w:rPr>
            </w:pPr>
            <w:r>
              <w:rPr>
                <w:b/>
                <w:bCs/>
                <w:sz w:val="16"/>
                <w:szCs w:val="16"/>
              </w:rPr>
              <w:t>2.55307</w:t>
            </w:r>
          </w:p>
        </w:tc>
        <w:tc>
          <w:tcPr>
            <w:tcW w:w="1410" w:type="dxa"/>
            <w:tcBorders/>
            <w:vAlign w:val="bottom"/>
          </w:tcPr>
          <w:p>
            <w:pPr>
              <w:pStyle w:val="Normal"/>
              <w:widowControl w:val="false"/>
              <w:spacing w:before="0" w:after="160"/>
              <w:jc w:val="center"/>
              <w:rPr>
                <w:sz w:val="16"/>
                <w:szCs w:val="16"/>
              </w:rPr>
            </w:pPr>
            <w:r>
              <w:rPr>
                <w:sz w:val="16"/>
                <w:szCs w:val="16"/>
              </w:rPr>
              <w:t>1.85817</w:t>
            </w:r>
          </w:p>
        </w:tc>
        <w:tc>
          <w:tcPr>
            <w:tcW w:w="964" w:type="dxa"/>
            <w:tcBorders/>
            <w:vAlign w:val="bottom"/>
          </w:tcPr>
          <w:p>
            <w:pPr>
              <w:pStyle w:val="Normal"/>
              <w:widowControl w:val="false"/>
              <w:spacing w:before="0" w:after="160"/>
              <w:jc w:val="center"/>
              <w:rPr>
                <w:sz w:val="16"/>
                <w:szCs w:val="16"/>
              </w:rPr>
            </w:pPr>
            <w:r>
              <w:rPr>
                <w:sz w:val="16"/>
                <w:szCs w:val="16"/>
              </w:rPr>
              <w:t>0.79362</w:t>
            </w:r>
          </w:p>
        </w:tc>
        <w:tc>
          <w:tcPr>
            <w:tcW w:w="1075" w:type="dxa"/>
            <w:tcBorders/>
            <w:vAlign w:val="bottom"/>
          </w:tcPr>
          <w:p>
            <w:pPr>
              <w:pStyle w:val="Normal"/>
              <w:widowControl w:val="false"/>
              <w:spacing w:before="0" w:after="160"/>
              <w:jc w:val="center"/>
              <w:rPr>
                <w:sz w:val="16"/>
                <w:szCs w:val="16"/>
              </w:rPr>
            </w:pPr>
            <w:r>
              <w:rPr>
                <w:sz w:val="16"/>
                <w:szCs w:val="16"/>
              </w:rPr>
              <w:t>0</w:t>
            </w:r>
          </w:p>
        </w:tc>
        <w:tc>
          <w:tcPr>
            <w:tcW w:w="1314" w:type="dxa"/>
            <w:tcBorders/>
            <w:vAlign w:val="bottom"/>
          </w:tcPr>
          <w:p>
            <w:pPr>
              <w:pStyle w:val="Normal"/>
              <w:widowControl w:val="false"/>
              <w:spacing w:before="0" w:after="160"/>
              <w:jc w:val="center"/>
              <w:rPr>
                <w:sz w:val="16"/>
                <w:szCs w:val="16"/>
              </w:rPr>
            </w:pPr>
            <w:r>
              <w:rPr>
                <w:sz w:val="16"/>
                <w:szCs w:val="16"/>
              </w:rPr>
              <w:t>0.65754</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Mandibles only</w:t>
            </w:r>
          </w:p>
        </w:tc>
        <w:tc>
          <w:tcPr>
            <w:tcW w:w="913" w:type="dxa"/>
            <w:tcBorders/>
            <w:vAlign w:val="bottom"/>
          </w:tcPr>
          <w:p>
            <w:pPr>
              <w:pStyle w:val="Normal"/>
              <w:widowControl w:val="false"/>
              <w:spacing w:before="0" w:after="160"/>
              <w:jc w:val="center"/>
              <w:rPr>
                <w:b/>
                <w:b/>
                <w:bCs/>
                <w:sz w:val="16"/>
                <w:szCs w:val="16"/>
              </w:rPr>
            </w:pPr>
            <w:r>
              <w:rPr>
                <w:b/>
                <w:bCs/>
                <w:sz w:val="16"/>
                <w:szCs w:val="16"/>
              </w:rPr>
              <w:t>2.10529</w:t>
            </w:r>
          </w:p>
        </w:tc>
        <w:tc>
          <w:tcPr>
            <w:tcW w:w="903" w:type="dxa"/>
            <w:tcBorders/>
            <w:vAlign w:val="bottom"/>
          </w:tcPr>
          <w:p>
            <w:pPr>
              <w:pStyle w:val="Normal"/>
              <w:widowControl w:val="false"/>
              <w:spacing w:before="0" w:after="160"/>
              <w:jc w:val="center"/>
              <w:rPr>
                <w:b/>
                <w:b/>
                <w:bCs/>
                <w:sz w:val="16"/>
                <w:szCs w:val="16"/>
              </w:rPr>
            </w:pPr>
            <w:r>
              <w:rPr>
                <w:b/>
                <w:bCs/>
                <w:sz w:val="16"/>
                <w:szCs w:val="16"/>
              </w:rPr>
              <w:t>2.21155</w:t>
            </w:r>
          </w:p>
        </w:tc>
        <w:tc>
          <w:tcPr>
            <w:tcW w:w="1201" w:type="dxa"/>
            <w:tcBorders/>
            <w:vAlign w:val="bottom"/>
          </w:tcPr>
          <w:p>
            <w:pPr>
              <w:pStyle w:val="Normal"/>
              <w:widowControl w:val="false"/>
              <w:spacing w:before="0" w:after="160"/>
              <w:jc w:val="center"/>
              <w:rPr>
                <w:b/>
                <w:b/>
                <w:bCs/>
                <w:sz w:val="16"/>
                <w:szCs w:val="16"/>
              </w:rPr>
            </w:pPr>
            <w:r>
              <w:rPr>
                <w:b/>
                <w:bCs/>
                <w:sz w:val="16"/>
                <w:szCs w:val="16"/>
              </w:rPr>
              <w:t>3.04515</w:t>
            </w:r>
          </w:p>
        </w:tc>
        <w:tc>
          <w:tcPr>
            <w:tcW w:w="1410" w:type="dxa"/>
            <w:tcBorders/>
            <w:vAlign w:val="bottom"/>
          </w:tcPr>
          <w:p>
            <w:pPr>
              <w:pStyle w:val="Normal"/>
              <w:widowControl w:val="false"/>
              <w:spacing w:before="0" w:after="160"/>
              <w:jc w:val="center"/>
              <w:rPr>
                <w:b/>
                <w:b/>
                <w:bCs/>
                <w:sz w:val="16"/>
                <w:szCs w:val="16"/>
              </w:rPr>
            </w:pPr>
            <w:r>
              <w:rPr>
                <w:b/>
                <w:bCs/>
                <w:sz w:val="16"/>
                <w:szCs w:val="16"/>
              </w:rPr>
              <w:t>2.41466</w:t>
            </w:r>
          </w:p>
        </w:tc>
        <w:tc>
          <w:tcPr>
            <w:tcW w:w="964" w:type="dxa"/>
            <w:tcBorders/>
            <w:vAlign w:val="bottom"/>
          </w:tcPr>
          <w:p>
            <w:pPr>
              <w:pStyle w:val="Normal"/>
              <w:widowControl w:val="false"/>
              <w:spacing w:before="0" w:after="160"/>
              <w:jc w:val="center"/>
              <w:rPr>
                <w:sz w:val="16"/>
                <w:szCs w:val="16"/>
              </w:rPr>
            </w:pPr>
            <w:r>
              <w:rPr>
                <w:sz w:val="16"/>
                <w:szCs w:val="16"/>
              </w:rPr>
              <w:t>1.25629</w:t>
            </w:r>
          </w:p>
        </w:tc>
        <w:tc>
          <w:tcPr>
            <w:tcW w:w="1075" w:type="dxa"/>
            <w:tcBorders/>
            <w:vAlign w:val="bottom"/>
          </w:tcPr>
          <w:p>
            <w:pPr>
              <w:pStyle w:val="Normal"/>
              <w:widowControl w:val="false"/>
              <w:spacing w:before="0" w:after="160"/>
              <w:jc w:val="center"/>
              <w:rPr>
                <w:sz w:val="16"/>
                <w:szCs w:val="16"/>
              </w:rPr>
            </w:pPr>
            <w:r>
              <w:rPr>
                <w:sz w:val="16"/>
                <w:szCs w:val="16"/>
              </w:rPr>
              <w:t>0.65754</w:t>
            </w:r>
          </w:p>
        </w:tc>
        <w:tc>
          <w:tcPr>
            <w:tcW w:w="1314" w:type="dxa"/>
            <w:tcBorders/>
            <w:vAlign w:val="bottom"/>
          </w:tcPr>
          <w:p>
            <w:pPr>
              <w:pStyle w:val="Normal"/>
              <w:widowControl w:val="false"/>
              <w:spacing w:before="0" w:after="160"/>
              <w:jc w:val="center"/>
              <w:rPr>
                <w:sz w:val="16"/>
                <w:szCs w:val="16"/>
              </w:rPr>
            </w:pPr>
            <w:r>
              <w:rPr>
                <w:sz w:val="16"/>
                <w:szCs w:val="16"/>
              </w:rPr>
              <w:t>0</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C. Pairwise P-values associated with pairwise differences in effect size.</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w:t>
            </w:r>
          </w:p>
        </w:tc>
        <w:tc>
          <w:tcPr>
            <w:tcW w:w="913" w:type="dxa"/>
            <w:tcBorders/>
            <w:vAlign w:val="bottom"/>
          </w:tcPr>
          <w:p>
            <w:pPr>
              <w:pStyle w:val="Normal"/>
              <w:widowControl w:val="false"/>
              <w:spacing w:before="0" w:after="160"/>
              <w:jc w:val="center"/>
              <w:rPr>
                <w:sz w:val="16"/>
                <w:szCs w:val="16"/>
              </w:rPr>
            </w:pPr>
            <w:r>
              <w:rPr>
                <w:sz w:val="16"/>
                <w:szCs w:val="16"/>
              </w:rPr>
              <w:t>1</w:t>
            </w:r>
          </w:p>
        </w:tc>
        <w:tc>
          <w:tcPr>
            <w:tcW w:w="903" w:type="dxa"/>
            <w:tcBorders/>
            <w:vAlign w:val="bottom"/>
          </w:tcPr>
          <w:p>
            <w:pPr>
              <w:pStyle w:val="Normal"/>
              <w:widowControl w:val="false"/>
              <w:spacing w:before="0" w:after="160"/>
              <w:jc w:val="center"/>
              <w:rPr>
                <w:sz w:val="16"/>
                <w:szCs w:val="16"/>
              </w:rPr>
            </w:pPr>
            <w:r>
              <w:rPr>
                <w:sz w:val="16"/>
                <w:szCs w:val="16"/>
              </w:rPr>
              <w:t>0.85284</w:t>
            </w:r>
          </w:p>
        </w:tc>
        <w:tc>
          <w:tcPr>
            <w:tcW w:w="1201" w:type="dxa"/>
            <w:tcBorders/>
            <w:vAlign w:val="bottom"/>
          </w:tcPr>
          <w:p>
            <w:pPr>
              <w:pStyle w:val="Normal"/>
              <w:widowControl w:val="false"/>
              <w:spacing w:before="0" w:after="160"/>
              <w:jc w:val="center"/>
              <w:rPr>
                <w:sz w:val="16"/>
                <w:szCs w:val="16"/>
              </w:rPr>
            </w:pPr>
            <w:r>
              <w:rPr>
                <w:sz w:val="16"/>
                <w:szCs w:val="16"/>
              </w:rPr>
              <w:t>0.52297</w:t>
            </w:r>
          </w:p>
        </w:tc>
        <w:tc>
          <w:tcPr>
            <w:tcW w:w="1410" w:type="dxa"/>
            <w:tcBorders/>
            <w:vAlign w:val="bottom"/>
          </w:tcPr>
          <w:p>
            <w:pPr>
              <w:pStyle w:val="Normal"/>
              <w:widowControl w:val="false"/>
              <w:spacing w:before="0" w:after="160"/>
              <w:jc w:val="center"/>
              <w:rPr>
                <w:sz w:val="16"/>
                <w:szCs w:val="16"/>
              </w:rPr>
            </w:pPr>
            <w:r>
              <w:rPr>
                <w:sz w:val="16"/>
                <w:szCs w:val="16"/>
              </w:rPr>
              <w:t>0.99626</w:t>
            </w:r>
          </w:p>
        </w:tc>
        <w:tc>
          <w:tcPr>
            <w:tcW w:w="964" w:type="dxa"/>
            <w:tcBorders/>
            <w:vAlign w:val="bottom"/>
          </w:tcPr>
          <w:p>
            <w:pPr>
              <w:pStyle w:val="Normal"/>
              <w:widowControl w:val="false"/>
              <w:spacing w:before="0" w:after="160"/>
              <w:jc w:val="center"/>
              <w:rPr>
                <w:sz w:val="16"/>
                <w:szCs w:val="16"/>
              </w:rPr>
            </w:pPr>
            <w:r>
              <w:rPr>
                <w:sz w:val="16"/>
                <w:szCs w:val="16"/>
              </w:rPr>
              <w:t>0.70606</w:t>
            </w:r>
          </w:p>
        </w:tc>
        <w:tc>
          <w:tcPr>
            <w:tcW w:w="1075" w:type="dxa"/>
            <w:tcBorders/>
            <w:vAlign w:val="bottom"/>
          </w:tcPr>
          <w:p>
            <w:pPr>
              <w:pStyle w:val="Normal"/>
              <w:widowControl w:val="false"/>
              <w:spacing w:before="0" w:after="160"/>
              <w:jc w:val="center"/>
              <w:rPr>
                <w:sz w:val="16"/>
                <w:szCs w:val="16"/>
              </w:rPr>
            </w:pPr>
            <w:r>
              <w:rPr>
                <w:sz w:val="16"/>
                <w:szCs w:val="16"/>
              </w:rPr>
              <w:t>0.1149</w:t>
            </w:r>
          </w:p>
        </w:tc>
        <w:tc>
          <w:tcPr>
            <w:tcW w:w="1314" w:type="dxa"/>
            <w:tcBorders/>
            <w:vAlign w:val="bottom"/>
          </w:tcPr>
          <w:p>
            <w:pPr>
              <w:pStyle w:val="Normal"/>
              <w:widowControl w:val="false"/>
              <w:spacing w:before="0" w:after="160"/>
              <w:jc w:val="center"/>
              <w:rPr>
                <w:b/>
                <w:b/>
                <w:bCs/>
                <w:sz w:val="16"/>
                <w:szCs w:val="16"/>
              </w:rPr>
            </w:pPr>
            <w:r>
              <w:rPr>
                <w:b/>
                <w:bCs/>
                <w:sz w:val="16"/>
                <w:szCs w:val="16"/>
              </w:rPr>
              <w:t>0.03527</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Head-Mandibles-Sensory</w:t>
            </w:r>
          </w:p>
        </w:tc>
        <w:tc>
          <w:tcPr>
            <w:tcW w:w="913" w:type="dxa"/>
            <w:tcBorders/>
            <w:vAlign w:val="bottom"/>
          </w:tcPr>
          <w:p>
            <w:pPr>
              <w:pStyle w:val="Normal"/>
              <w:widowControl w:val="false"/>
              <w:spacing w:before="0" w:after="160"/>
              <w:jc w:val="center"/>
              <w:rPr>
                <w:sz w:val="16"/>
                <w:szCs w:val="16"/>
              </w:rPr>
            </w:pPr>
            <w:r>
              <w:rPr>
                <w:sz w:val="16"/>
                <w:szCs w:val="16"/>
              </w:rPr>
              <w:t>0.85284</w:t>
            </w:r>
          </w:p>
        </w:tc>
        <w:tc>
          <w:tcPr>
            <w:tcW w:w="903" w:type="dxa"/>
            <w:tcBorders/>
            <w:vAlign w:val="bottom"/>
          </w:tcPr>
          <w:p>
            <w:pPr>
              <w:pStyle w:val="Normal"/>
              <w:widowControl w:val="false"/>
              <w:spacing w:before="0" w:after="160"/>
              <w:jc w:val="center"/>
              <w:rPr>
                <w:sz w:val="16"/>
                <w:szCs w:val="16"/>
              </w:rPr>
            </w:pPr>
            <w:r>
              <w:rPr>
                <w:sz w:val="16"/>
                <w:szCs w:val="16"/>
              </w:rPr>
              <w:t>1</w:t>
            </w:r>
          </w:p>
        </w:tc>
        <w:tc>
          <w:tcPr>
            <w:tcW w:w="1201" w:type="dxa"/>
            <w:tcBorders/>
            <w:vAlign w:val="bottom"/>
          </w:tcPr>
          <w:p>
            <w:pPr>
              <w:pStyle w:val="Normal"/>
              <w:widowControl w:val="false"/>
              <w:spacing w:before="0" w:after="160"/>
              <w:jc w:val="center"/>
              <w:rPr>
                <w:sz w:val="16"/>
                <w:szCs w:val="16"/>
              </w:rPr>
            </w:pPr>
            <w:r>
              <w:rPr>
                <w:sz w:val="16"/>
                <w:szCs w:val="16"/>
              </w:rPr>
              <w:t>0.30339</w:t>
            </w:r>
          </w:p>
        </w:tc>
        <w:tc>
          <w:tcPr>
            <w:tcW w:w="1410" w:type="dxa"/>
            <w:tcBorders/>
            <w:vAlign w:val="bottom"/>
          </w:tcPr>
          <w:p>
            <w:pPr>
              <w:pStyle w:val="Normal"/>
              <w:widowControl w:val="false"/>
              <w:spacing w:before="0" w:after="160"/>
              <w:jc w:val="center"/>
              <w:rPr>
                <w:sz w:val="16"/>
                <w:szCs w:val="16"/>
              </w:rPr>
            </w:pPr>
            <w:r>
              <w:rPr>
                <w:sz w:val="16"/>
                <w:szCs w:val="16"/>
              </w:rPr>
              <w:t>0.8134</w:t>
            </w:r>
          </w:p>
        </w:tc>
        <w:tc>
          <w:tcPr>
            <w:tcW w:w="964" w:type="dxa"/>
            <w:tcBorders/>
            <w:vAlign w:val="bottom"/>
          </w:tcPr>
          <w:p>
            <w:pPr>
              <w:pStyle w:val="Normal"/>
              <w:widowControl w:val="false"/>
              <w:spacing w:before="0" w:after="160"/>
              <w:jc w:val="center"/>
              <w:rPr>
                <w:sz w:val="16"/>
                <w:szCs w:val="16"/>
              </w:rPr>
            </w:pPr>
            <w:r>
              <w:rPr>
                <w:sz w:val="16"/>
                <w:szCs w:val="16"/>
              </w:rPr>
              <w:t>0.78264</w:t>
            </w:r>
          </w:p>
        </w:tc>
        <w:tc>
          <w:tcPr>
            <w:tcW w:w="1075" w:type="dxa"/>
            <w:tcBorders/>
            <w:vAlign w:val="bottom"/>
          </w:tcPr>
          <w:p>
            <w:pPr>
              <w:pStyle w:val="Normal"/>
              <w:widowControl w:val="false"/>
              <w:spacing w:before="0" w:after="160"/>
              <w:jc w:val="center"/>
              <w:rPr>
                <w:sz w:val="16"/>
                <w:szCs w:val="16"/>
              </w:rPr>
            </w:pPr>
            <w:r>
              <w:rPr>
                <w:sz w:val="16"/>
                <w:szCs w:val="16"/>
              </w:rPr>
              <w:t>0.10146</w:t>
            </w:r>
          </w:p>
        </w:tc>
        <w:tc>
          <w:tcPr>
            <w:tcW w:w="1314" w:type="dxa"/>
            <w:tcBorders/>
            <w:vAlign w:val="bottom"/>
          </w:tcPr>
          <w:p>
            <w:pPr>
              <w:pStyle w:val="Normal"/>
              <w:widowControl w:val="false"/>
              <w:spacing w:before="0" w:after="160"/>
              <w:jc w:val="center"/>
              <w:rPr>
                <w:b/>
                <w:b/>
                <w:bCs/>
                <w:sz w:val="16"/>
                <w:szCs w:val="16"/>
              </w:rPr>
            </w:pPr>
            <w:r>
              <w:rPr>
                <w:b/>
                <w:bCs/>
                <w:sz w:val="16"/>
                <w:szCs w:val="16"/>
              </w:rPr>
              <w:t>0.027</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w:t>
            </w:r>
          </w:p>
        </w:tc>
        <w:tc>
          <w:tcPr>
            <w:tcW w:w="913" w:type="dxa"/>
            <w:tcBorders/>
            <w:vAlign w:val="bottom"/>
          </w:tcPr>
          <w:p>
            <w:pPr>
              <w:pStyle w:val="Normal"/>
              <w:widowControl w:val="false"/>
              <w:spacing w:before="0" w:after="160"/>
              <w:jc w:val="center"/>
              <w:rPr>
                <w:sz w:val="16"/>
                <w:szCs w:val="16"/>
              </w:rPr>
            </w:pPr>
            <w:r>
              <w:rPr>
                <w:sz w:val="16"/>
                <w:szCs w:val="16"/>
              </w:rPr>
              <w:t>0.52297</w:t>
            </w:r>
          </w:p>
        </w:tc>
        <w:tc>
          <w:tcPr>
            <w:tcW w:w="903" w:type="dxa"/>
            <w:tcBorders/>
            <w:vAlign w:val="bottom"/>
          </w:tcPr>
          <w:p>
            <w:pPr>
              <w:pStyle w:val="Normal"/>
              <w:widowControl w:val="false"/>
              <w:spacing w:before="0" w:after="160"/>
              <w:jc w:val="center"/>
              <w:rPr>
                <w:sz w:val="16"/>
                <w:szCs w:val="16"/>
              </w:rPr>
            </w:pPr>
            <w:r>
              <w:rPr>
                <w:sz w:val="16"/>
                <w:szCs w:val="16"/>
              </w:rPr>
              <w:t>0.30339</w:t>
            </w:r>
          </w:p>
        </w:tc>
        <w:tc>
          <w:tcPr>
            <w:tcW w:w="1201" w:type="dxa"/>
            <w:tcBorders/>
            <w:vAlign w:val="bottom"/>
          </w:tcPr>
          <w:p>
            <w:pPr>
              <w:pStyle w:val="Normal"/>
              <w:widowControl w:val="false"/>
              <w:spacing w:before="0" w:after="160"/>
              <w:jc w:val="center"/>
              <w:rPr>
                <w:sz w:val="16"/>
                <w:szCs w:val="16"/>
              </w:rPr>
            </w:pPr>
            <w:r>
              <w:rPr>
                <w:sz w:val="16"/>
                <w:szCs w:val="16"/>
              </w:rPr>
              <w:t>1</w:t>
            </w:r>
          </w:p>
        </w:tc>
        <w:tc>
          <w:tcPr>
            <w:tcW w:w="1410" w:type="dxa"/>
            <w:tcBorders/>
            <w:vAlign w:val="bottom"/>
          </w:tcPr>
          <w:p>
            <w:pPr>
              <w:pStyle w:val="Normal"/>
              <w:widowControl w:val="false"/>
              <w:spacing w:before="0" w:after="160"/>
              <w:jc w:val="center"/>
              <w:rPr>
                <w:sz w:val="16"/>
                <w:szCs w:val="16"/>
              </w:rPr>
            </w:pPr>
            <w:r>
              <w:rPr>
                <w:sz w:val="16"/>
                <w:szCs w:val="16"/>
              </w:rPr>
              <w:t>0.42242</w:t>
            </w:r>
          </w:p>
        </w:tc>
        <w:tc>
          <w:tcPr>
            <w:tcW w:w="964" w:type="dxa"/>
            <w:tcBorders/>
            <w:vAlign w:val="bottom"/>
          </w:tcPr>
          <w:p>
            <w:pPr>
              <w:pStyle w:val="Normal"/>
              <w:widowControl w:val="false"/>
              <w:spacing w:before="0" w:after="160"/>
              <w:jc w:val="center"/>
              <w:rPr>
                <w:sz w:val="16"/>
                <w:szCs w:val="16"/>
              </w:rPr>
            </w:pPr>
            <w:r>
              <w:rPr>
                <w:sz w:val="16"/>
                <w:szCs w:val="16"/>
              </w:rPr>
              <w:t>0.39229</w:t>
            </w:r>
          </w:p>
        </w:tc>
        <w:tc>
          <w:tcPr>
            <w:tcW w:w="1075" w:type="dxa"/>
            <w:tcBorders/>
            <w:vAlign w:val="bottom"/>
          </w:tcPr>
          <w:p>
            <w:pPr>
              <w:pStyle w:val="Normal"/>
              <w:widowControl w:val="false"/>
              <w:spacing w:before="0" w:after="160"/>
              <w:jc w:val="center"/>
              <w:rPr>
                <w:b/>
                <w:b/>
                <w:bCs/>
                <w:sz w:val="16"/>
                <w:szCs w:val="16"/>
              </w:rPr>
            </w:pPr>
            <w:r>
              <w:rPr>
                <w:b/>
                <w:bCs/>
                <w:sz w:val="16"/>
                <w:szCs w:val="16"/>
              </w:rPr>
              <w:t>0.01068</w:t>
            </w:r>
          </w:p>
        </w:tc>
        <w:tc>
          <w:tcPr>
            <w:tcW w:w="1314" w:type="dxa"/>
            <w:tcBorders/>
            <w:vAlign w:val="bottom"/>
          </w:tcPr>
          <w:p>
            <w:pPr>
              <w:pStyle w:val="Normal"/>
              <w:widowControl w:val="false"/>
              <w:spacing w:before="0" w:after="160"/>
              <w:jc w:val="center"/>
              <w:rPr>
                <w:b/>
                <w:b/>
                <w:bCs/>
                <w:sz w:val="16"/>
                <w:szCs w:val="16"/>
              </w:rPr>
            </w:pPr>
            <w:r>
              <w:rPr>
                <w:b/>
                <w:bCs/>
                <w:sz w:val="16"/>
                <w:szCs w:val="16"/>
              </w:rPr>
              <w:t>0.00233</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spacing w:before="0" w:after="160"/>
              <w:jc w:val="center"/>
              <w:rPr>
                <w:sz w:val="16"/>
                <w:szCs w:val="16"/>
              </w:rPr>
            </w:pPr>
            <w:r>
              <w:rPr>
                <w:sz w:val="16"/>
                <w:szCs w:val="16"/>
              </w:rPr>
              <w:t>0.99626</w:t>
            </w:r>
          </w:p>
        </w:tc>
        <w:tc>
          <w:tcPr>
            <w:tcW w:w="903" w:type="dxa"/>
            <w:tcBorders/>
            <w:vAlign w:val="bottom"/>
          </w:tcPr>
          <w:p>
            <w:pPr>
              <w:pStyle w:val="Normal"/>
              <w:widowControl w:val="false"/>
              <w:spacing w:before="0" w:after="160"/>
              <w:jc w:val="center"/>
              <w:rPr>
                <w:sz w:val="16"/>
                <w:szCs w:val="16"/>
              </w:rPr>
            </w:pPr>
            <w:r>
              <w:rPr>
                <w:sz w:val="16"/>
                <w:szCs w:val="16"/>
              </w:rPr>
              <w:t>0.8134</w:t>
            </w:r>
          </w:p>
        </w:tc>
        <w:tc>
          <w:tcPr>
            <w:tcW w:w="1201" w:type="dxa"/>
            <w:tcBorders/>
            <w:vAlign w:val="bottom"/>
          </w:tcPr>
          <w:p>
            <w:pPr>
              <w:pStyle w:val="Normal"/>
              <w:widowControl w:val="false"/>
              <w:spacing w:before="0" w:after="160"/>
              <w:jc w:val="center"/>
              <w:rPr>
                <w:sz w:val="16"/>
                <w:szCs w:val="16"/>
              </w:rPr>
            </w:pPr>
            <w:r>
              <w:rPr>
                <w:sz w:val="16"/>
                <w:szCs w:val="16"/>
              </w:rPr>
              <w:t>0.42242</w:t>
            </w:r>
          </w:p>
        </w:tc>
        <w:tc>
          <w:tcPr>
            <w:tcW w:w="1410" w:type="dxa"/>
            <w:tcBorders/>
            <w:vAlign w:val="bottom"/>
          </w:tcPr>
          <w:p>
            <w:pPr>
              <w:pStyle w:val="Normal"/>
              <w:widowControl w:val="false"/>
              <w:spacing w:before="0" w:after="160"/>
              <w:jc w:val="center"/>
              <w:rPr>
                <w:sz w:val="16"/>
                <w:szCs w:val="16"/>
              </w:rPr>
            </w:pPr>
            <w:r>
              <w:rPr>
                <w:sz w:val="16"/>
                <w:szCs w:val="16"/>
              </w:rPr>
              <w:t>1</w:t>
            </w:r>
          </w:p>
        </w:tc>
        <w:tc>
          <w:tcPr>
            <w:tcW w:w="964" w:type="dxa"/>
            <w:tcBorders/>
            <w:vAlign w:val="bottom"/>
          </w:tcPr>
          <w:p>
            <w:pPr>
              <w:pStyle w:val="Normal"/>
              <w:widowControl w:val="false"/>
              <w:spacing w:before="0" w:after="160"/>
              <w:jc w:val="center"/>
              <w:rPr>
                <w:sz w:val="16"/>
                <w:szCs w:val="16"/>
              </w:rPr>
            </w:pPr>
            <w:r>
              <w:rPr>
                <w:sz w:val="16"/>
                <w:szCs w:val="16"/>
              </w:rPr>
              <w:t>0.68009</w:t>
            </w:r>
          </w:p>
        </w:tc>
        <w:tc>
          <w:tcPr>
            <w:tcW w:w="1075" w:type="dxa"/>
            <w:tcBorders/>
            <w:vAlign w:val="bottom"/>
          </w:tcPr>
          <w:p>
            <w:pPr>
              <w:pStyle w:val="Normal"/>
              <w:widowControl w:val="false"/>
              <w:spacing w:before="0" w:after="160"/>
              <w:jc w:val="center"/>
              <w:rPr>
                <w:sz w:val="16"/>
                <w:szCs w:val="16"/>
              </w:rPr>
            </w:pPr>
            <w:r>
              <w:rPr>
                <w:sz w:val="16"/>
                <w:szCs w:val="16"/>
              </w:rPr>
              <w:t>0.06314</w:t>
            </w:r>
          </w:p>
        </w:tc>
        <w:tc>
          <w:tcPr>
            <w:tcW w:w="1314" w:type="dxa"/>
            <w:tcBorders/>
            <w:vAlign w:val="bottom"/>
          </w:tcPr>
          <w:p>
            <w:pPr>
              <w:pStyle w:val="Normal"/>
              <w:widowControl w:val="false"/>
              <w:spacing w:before="0" w:after="160"/>
              <w:jc w:val="center"/>
              <w:rPr>
                <w:b/>
                <w:b/>
                <w:bCs/>
                <w:sz w:val="16"/>
                <w:szCs w:val="16"/>
              </w:rPr>
            </w:pPr>
            <w:r>
              <w:rPr>
                <w:b/>
                <w:bCs/>
                <w:sz w:val="16"/>
                <w:szCs w:val="16"/>
              </w:rPr>
              <w:t>0.01575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Ventral-Dorsal</w:t>
            </w:r>
          </w:p>
        </w:tc>
        <w:tc>
          <w:tcPr>
            <w:tcW w:w="913" w:type="dxa"/>
            <w:tcBorders/>
            <w:vAlign w:val="bottom"/>
          </w:tcPr>
          <w:p>
            <w:pPr>
              <w:pStyle w:val="Normal"/>
              <w:widowControl w:val="false"/>
              <w:spacing w:before="0" w:after="160"/>
              <w:jc w:val="center"/>
              <w:rPr>
                <w:sz w:val="16"/>
                <w:szCs w:val="16"/>
              </w:rPr>
            </w:pPr>
            <w:r>
              <w:rPr>
                <w:sz w:val="16"/>
                <w:szCs w:val="16"/>
              </w:rPr>
              <w:t>0.70606</w:t>
            </w:r>
          </w:p>
        </w:tc>
        <w:tc>
          <w:tcPr>
            <w:tcW w:w="903" w:type="dxa"/>
            <w:tcBorders/>
            <w:vAlign w:val="bottom"/>
          </w:tcPr>
          <w:p>
            <w:pPr>
              <w:pStyle w:val="Normal"/>
              <w:widowControl w:val="false"/>
              <w:spacing w:before="0" w:after="160"/>
              <w:jc w:val="center"/>
              <w:rPr>
                <w:sz w:val="16"/>
                <w:szCs w:val="16"/>
              </w:rPr>
            </w:pPr>
            <w:r>
              <w:rPr>
                <w:sz w:val="16"/>
                <w:szCs w:val="16"/>
              </w:rPr>
              <w:t>0.78264</w:t>
            </w:r>
          </w:p>
        </w:tc>
        <w:tc>
          <w:tcPr>
            <w:tcW w:w="1201" w:type="dxa"/>
            <w:tcBorders/>
            <w:vAlign w:val="bottom"/>
          </w:tcPr>
          <w:p>
            <w:pPr>
              <w:pStyle w:val="Normal"/>
              <w:widowControl w:val="false"/>
              <w:spacing w:before="0" w:after="160"/>
              <w:jc w:val="center"/>
              <w:rPr>
                <w:sz w:val="16"/>
                <w:szCs w:val="16"/>
              </w:rPr>
            </w:pPr>
            <w:r>
              <w:rPr>
                <w:sz w:val="16"/>
                <w:szCs w:val="16"/>
              </w:rPr>
              <w:t>0.39229</w:t>
            </w:r>
          </w:p>
        </w:tc>
        <w:tc>
          <w:tcPr>
            <w:tcW w:w="1410" w:type="dxa"/>
            <w:tcBorders/>
            <w:vAlign w:val="bottom"/>
          </w:tcPr>
          <w:p>
            <w:pPr>
              <w:pStyle w:val="Normal"/>
              <w:widowControl w:val="false"/>
              <w:spacing w:before="0" w:after="160"/>
              <w:jc w:val="center"/>
              <w:rPr>
                <w:sz w:val="16"/>
                <w:szCs w:val="16"/>
              </w:rPr>
            </w:pPr>
            <w:r>
              <w:rPr>
                <w:sz w:val="16"/>
                <w:szCs w:val="16"/>
              </w:rPr>
              <w:t>0.68009</w:t>
            </w:r>
          </w:p>
        </w:tc>
        <w:tc>
          <w:tcPr>
            <w:tcW w:w="964" w:type="dxa"/>
            <w:tcBorders/>
            <w:vAlign w:val="bottom"/>
          </w:tcPr>
          <w:p>
            <w:pPr>
              <w:pStyle w:val="Normal"/>
              <w:widowControl w:val="false"/>
              <w:spacing w:before="0" w:after="160"/>
              <w:jc w:val="center"/>
              <w:rPr>
                <w:sz w:val="16"/>
                <w:szCs w:val="16"/>
              </w:rPr>
            </w:pPr>
            <w:r>
              <w:rPr>
                <w:sz w:val="16"/>
                <w:szCs w:val="16"/>
              </w:rPr>
              <w:t>1</w:t>
            </w:r>
          </w:p>
        </w:tc>
        <w:tc>
          <w:tcPr>
            <w:tcW w:w="1075" w:type="dxa"/>
            <w:tcBorders/>
            <w:vAlign w:val="bottom"/>
          </w:tcPr>
          <w:p>
            <w:pPr>
              <w:pStyle w:val="Normal"/>
              <w:widowControl w:val="false"/>
              <w:spacing w:before="0" w:after="160"/>
              <w:jc w:val="center"/>
              <w:rPr>
                <w:sz w:val="16"/>
                <w:szCs w:val="16"/>
              </w:rPr>
            </w:pPr>
            <w:r>
              <w:rPr>
                <w:sz w:val="16"/>
                <w:szCs w:val="16"/>
              </w:rPr>
              <w:t>0.42742</w:t>
            </w:r>
          </w:p>
        </w:tc>
        <w:tc>
          <w:tcPr>
            <w:tcW w:w="1314" w:type="dxa"/>
            <w:tcBorders/>
            <w:vAlign w:val="bottom"/>
          </w:tcPr>
          <w:p>
            <w:pPr>
              <w:pStyle w:val="Normal"/>
              <w:widowControl w:val="false"/>
              <w:spacing w:before="0" w:after="160"/>
              <w:jc w:val="center"/>
              <w:rPr>
                <w:sz w:val="16"/>
                <w:szCs w:val="16"/>
              </w:rPr>
            </w:pPr>
            <w:r>
              <w:rPr>
                <w:sz w:val="16"/>
                <w:szCs w:val="16"/>
              </w:rPr>
              <w:t>0.20901</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Half-Half</w:t>
            </w:r>
          </w:p>
        </w:tc>
        <w:tc>
          <w:tcPr>
            <w:tcW w:w="913" w:type="dxa"/>
            <w:tcBorders/>
            <w:vAlign w:val="bottom"/>
          </w:tcPr>
          <w:p>
            <w:pPr>
              <w:pStyle w:val="Normal"/>
              <w:widowControl w:val="false"/>
              <w:spacing w:before="0" w:after="160"/>
              <w:jc w:val="center"/>
              <w:rPr>
                <w:sz w:val="16"/>
                <w:szCs w:val="16"/>
              </w:rPr>
            </w:pPr>
            <w:r>
              <w:rPr>
                <w:sz w:val="16"/>
                <w:szCs w:val="16"/>
              </w:rPr>
              <w:t>0.1149</w:t>
            </w:r>
          </w:p>
        </w:tc>
        <w:tc>
          <w:tcPr>
            <w:tcW w:w="903" w:type="dxa"/>
            <w:tcBorders/>
            <w:vAlign w:val="bottom"/>
          </w:tcPr>
          <w:p>
            <w:pPr>
              <w:pStyle w:val="Normal"/>
              <w:widowControl w:val="false"/>
              <w:spacing w:before="0" w:after="160"/>
              <w:jc w:val="center"/>
              <w:rPr>
                <w:sz w:val="16"/>
                <w:szCs w:val="16"/>
              </w:rPr>
            </w:pPr>
            <w:r>
              <w:rPr>
                <w:sz w:val="16"/>
                <w:szCs w:val="16"/>
              </w:rPr>
              <w:t>0.10146</w:t>
            </w:r>
          </w:p>
        </w:tc>
        <w:tc>
          <w:tcPr>
            <w:tcW w:w="1201" w:type="dxa"/>
            <w:tcBorders/>
            <w:vAlign w:val="bottom"/>
          </w:tcPr>
          <w:p>
            <w:pPr>
              <w:pStyle w:val="Normal"/>
              <w:widowControl w:val="false"/>
              <w:spacing w:before="0" w:after="160"/>
              <w:jc w:val="center"/>
              <w:rPr>
                <w:b/>
                <w:b/>
                <w:bCs/>
                <w:sz w:val="16"/>
                <w:szCs w:val="16"/>
              </w:rPr>
            </w:pPr>
            <w:r>
              <w:rPr>
                <w:b/>
                <w:bCs/>
                <w:sz w:val="16"/>
                <w:szCs w:val="16"/>
              </w:rPr>
              <w:t>0.01068</w:t>
            </w:r>
          </w:p>
        </w:tc>
        <w:tc>
          <w:tcPr>
            <w:tcW w:w="1410" w:type="dxa"/>
            <w:tcBorders/>
            <w:vAlign w:val="bottom"/>
          </w:tcPr>
          <w:p>
            <w:pPr>
              <w:pStyle w:val="Normal"/>
              <w:widowControl w:val="false"/>
              <w:spacing w:before="0" w:after="160"/>
              <w:jc w:val="center"/>
              <w:rPr>
                <w:sz w:val="16"/>
                <w:szCs w:val="16"/>
              </w:rPr>
            </w:pPr>
            <w:r>
              <w:rPr>
                <w:sz w:val="16"/>
                <w:szCs w:val="16"/>
              </w:rPr>
              <w:t>0.06314</w:t>
            </w:r>
          </w:p>
        </w:tc>
        <w:tc>
          <w:tcPr>
            <w:tcW w:w="964" w:type="dxa"/>
            <w:tcBorders/>
            <w:vAlign w:val="bottom"/>
          </w:tcPr>
          <w:p>
            <w:pPr>
              <w:pStyle w:val="Normal"/>
              <w:widowControl w:val="false"/>
              <w:spacing w:before="0" w:after="160"/>
              <w:jc w:val="center"/>
              <w:rPr>
                <w:sz w:val="16"/>
                <w:szCs w:val="16"/>
              </w:rPr>
            </w:pPr>
            <w:r>
              <w:rPr>
                <w:sz w:val="16"/>
                <w:szCs w:val="16"/>
              </w:rPr>
              <w:t>0.42742</w:t>
            </w:r>
          </w:p>
        </w:tc>
        <w:tc>
          <w:tcPr>
            <w:tcW w:w="1075" w:type="dxa"/>
            <w:tcBorders/>
            <w:vAlign w:val="bottom"/>
          </w:tcPr>
          <w:p>
            <w:pPr>
              <w:pStyle w:val="Normal"/>
              <w:widowControl w:val="false"/>
              <w:spacing w:before="0" w:after="160"/>
              <w:jc w:val="center"/>
              <w:rPr>
                <w:sz w:val="16"/>
                <w:szCs w:val="16"/>
              </w:rPr>
            </w:pPr>
            <w:r>
              <w:rPr>
                <w:sz w:val="16"/>
                <w:szCs w:val="16"/>
              </w:rPr>
              <w:t>1</w:t>
            </w:r>
          </w:p>
        </w:tc>
        <w:tc>
          <w:tcPr>
            <w:tcW w:w="1314" w:type="dxa"/>
            <w:tcBorders/>
            <w:vAlign w:val="bottom"/>
          </w:tcPr>
          <w:p>
            <w:pPr>
              <w:pStyle w:val="Normal"/>
              <w:widowControl w:val="false"/>
              <w:spacing w:before="0" w:after="160"/>
              <w:jc w:val="center"/>
              <w:rPr>
                <w:sz w:val="16"/>
                <w:szCs w:val="16"/>
              </w:rPr>
            </w:pPr>
            <w:r>
              <w:rPr>
                <w:sz w:val="16"/>
                <w:szCs w:val="16"/>
              </w:rPr>
              <w:t>0.51083</w:t>
            </w:r>
          </w:p>
        </w:tc>
      </w:tr>
      <w:tr>
        <w:trPr>
          <w:trHeight w:val="256" w:hRule="atLeast"/>
        </w:trPr>
        <w:tc>
          <w:tcPr>
            <w:tcW w:w="1074" w:type="dxa"/>
            <w:tcBorders/>
            <w:vAlign w:val="bottom"/>
          </w:tcPr>
          <w:p>
            <w:pPr>
              <w:pStyle w:val="Contenudetableau"/>
              <w:widowControl w:val="false"/>
              <w:spacing w:before="0" w:after="160"/>
              <w:jc w:val="center"/>
              <w:rPr>
                <w:sz w:val="16"/>
                <w:szCs w:val="16"/>
              </w:rPr>
            </w:pPr>
            <w:r>
              <w:rPr>
                <w:sz w:val="16"/>
                <w:szCs w:val="16"/>
              </w:rPr>
              <w:t>Mandibles only</w:t>
            </w:r>
          </w:p>
        </w:tc>
        <w:tc>
          <w:tcPr>
            <w:tcW w:w="913" w:type="dxa"/>
            <w:tcBorders/>
            <w:vAlign w:val="bottom"/>
          </w:tcPr>
          <w:p>
            <w:pPr>
              <w:pStyle w:val="Contenudetableau"/>
              <w:widowControl w:val="false"/>
              <w:spacing w:before="0" w:after="160"/>
              <w:jc w:val="center"/>
              <w:rPr>
                <w:b/>
                <w:b/>
                <w:bCs/>
                <w:sz w:val="16"/>
                <w:szCs w:val="16"/>
              </w:rPr>
            </w:pPr>
            <w:r>
              <w:rPr>
                <w:b/>
                <w:bCs/>
                <w:sz w:val="16"/>
                <w:szCs w:val="16"/>
              </w:rPr>
              <w:t>0.03527</w:t>
            </w:r>
          </w:p>
        </w:tc>
        <w:tc>
          <w:tcPr>
            <w:tcW w:w="903" w:type="dxa"/>
            <w:tcBorders/>
            <w:vAlign w:val="bottom"/>
          </w:tcPr>
          <w:p>
            <w:pPr>
              <w:pStyle w:val="Contenudetableau"/>
              <w:widowControl w:val="false"/>
              <w:spacing w:before="0" w:after="160"/>
              <w:jc w:val="center"/>
              <w:rPr>
                <w:b/>
                <w:b/>
                <w:bCs/>
                <w:sz w:val="16"/>
                <w:szCs w:val="16"/>
              </w:rPr>
            </w:pPr>
            <w:r>
              <w:rPr>
                <w:b/>
                <w:bCs/>
                <w:sz w:val="16"/>
                <w:szCs w:val="16"/>
              </w:rPr>
              <w:t>0.027</w:t>
            </w:r>
          </w:p>
        </w:tc>
        <w:tc>
          <w:tcPr>
            <w:tcW w:w="1201" w:type="dxa"/>
            <w:tcBorders/>
            <w:vAlign w:val="bottom"/>
          </w:tcPr>
          <w:p>
            <w:pPr>
              <w:pStyle w:val="Contenudetableau"/>
              <w:widowControl w:val="false"/>
              <w:spacing w:before="0" w:after="160"/>
              <w:jc w:val="center"/>
              <w:rPr>
                <w:b/>
                <w:b/>
                <w:bCs/>
                <w:sz w:val="16"/>
                <w:szCs w:val="16"/>
              </w:rPr>
            </w:pPr>
            <w:r>
              <w:rPr>
                <w:b/>
                <w:bCs/>
                <w:sz w:val="16"/>
                <w:szCs w:val="16"/>
              </w:rPr>
              <w:t>0.00233</w:t>
            </w:r>
          </w:p>
        </w:tc>
        <w:tc>
          <w:tcPr>
            <w:tcW w:w="1410" w:type="dxa"/>
            <w:tcBorders/>
            <w:vAlign w:val="bottom"/>
          </w:tcPr>
          <w:p>
            <w:pPr>
              <w:pStyle w:val="Contenudetableau"/>
              <w:widowControl w:val="false"/>
              <w:spacing w:before="0" w:after="160"/>
              <w:jc w:val="center"/>
              <w:rPr>
                <w:b/>
                <w:b/>
                <w:bCs/>
                <w:sz w:val="16"/>
                <w:szCs w:val="16"/>
              </w:rPr>
            </w:pPr>
            <w:r>
              <w:rPr>
                <w:b/>
                <w:bCs/>
                <w:sz w:val="16"/>
                <w:szCs w:val="16"/>
              </w:rPr>
              <w:t>0.01575</w:t>
            </w:r>
          </w:p>
        </w:tc>
        <w:tc>
          <w:tcPr>
            <w:tcW w:w="964" w:type="dxa"/>
            <w:tcBorders/>
            <w:vAlign w:val="bottom"/>
          </w:tcPr>
          <w:p>
            <w:pPr>
              <w:pStyle w:val="Contenudetableau"/>
              <w:widowControl w:val="false"/>
              <w:spacing w:before="0" w:after="160"/>
              <w:jc w:val="center"/>
              <w:rPr>
                <w:sz w:val="16"/>
                <w:szCs w:val="16"/>
              </w:rPr>
            </w:pPr>
            <w:r>
              <w:rPr>
                <w:sz w:val="16"/>
                <w:szCs w:val="16"/>
              </w:rPr>
              <w:t>0.20901</w:t>
            </w:r>
          </w:p>
        </w:tc>
        <w:tc>
          <w:tcPr>
            <w:tcW w:w="1075" w:type="dxa"/>
            <w:tcBorders/>
            <w:vAlign w:val="bottom"/>
          </w:tcPr>
          <w:p>
            <w:pPr>
              <w:pStyle w:val="Contenudetableau"/>
              <w:widowControl w:val="false"/>
              <w:spacing w:before="0" w:after="160"/>
              <w:jc w:val="center"/>
              <w:rPr>
                <w:sz w:val="16"/>
                <w:szCs w:val="16"/>
              </w:rPr>
            </w:pPr>
            <w:r>
              <w:rPr>
                <w:sz w:val="16"/>
                <w:szCs w:val="16"/>
              </w:rPr>
              <w:t>0.51083</w:t>
            </w:r>
          </w:p>
        </w:tc>
        <w:tc>
          <w:tcPr>
            <w:tcW w:w="1314" w:type="dxa"/>
            <w:tcBorders/>
            <w:vAlign w:val="bottom"/>
          </w:tcPr>
          <w:p>
            <w:pPr>
              <w:pStyle w:val="Contenudetableau"/>
              <w:widowControl w:val="false"/>
              <w:spacing w:before="0" w:after="160"/>
              <w:jc w:val="center"/>
              <w:rPr>
                <w:sz w:val="16"/>
                <w:szCs w:val="16"/>
              </w:rPr>
            </w:pPr>
            <w:r>
              <w:rPr>
                <w:sz w:val="16"/>
                <w:szCs w:val="16"/>
              </w:rPr>
              <w:t>1</w:t>
            </w:r>
          </w:p>
        </w:tc>
      </w:tr>
    </w:tbl>
    <w:p>
      <w:pPr>
        <w:pStyle w:val="Normal"/>
        <w:rPr/>
      </w:pPr>
      <w:r>
        <w:rPr/>
      </w:r>
    </w:p>
    <w:p>
      <w:pPr>
        <w:pStyle w:val="Normal"/>
        <w:spacing w:lineRule="auto" w:line="240" w:before="0" w:after="0"/>
        <w:rPr/>
      </w:pPr>
      <w:r>
        <w:rPr/>
      </w:r>
      <w:r>
        <w:br w:type="page"/>
      </w:r>
    </w:p>
    <w:p>
      <w:pPr>
        <w:pStyle w:val="Bibliography"/>
        <w:rPr/>
      </w:pPr>
      <w:bookmarkStart w:id="60" w:name="ZOTERO_BREF_jdDvV9N3urIO"/>
      <w:r>
        <w:rPr/>
        <w:t xml:space="preserve">Adams, D. C. (2016). Evaluating modularity in morphometric data: Challenges with the RV coefficient and a new test measure. </w:t>
      </w:r>
      <w:r>
        <w:rPr>
          <w:i/>
          <w:iCs/>
        </w:rPr>
        <w:t>Methods in Ecology and Evolution</w:t>
      </w:r>
      <w:r>
        <w:rPr/>
        <w:t xml:space="preserve">, </w:t>
      </w:r>
      <w:r>
        <w:rPr>
          <w:i/>
          <w:iCs/>
        </w:rPr>
        <w:t>7</w:t>
      </w:r>
      <w:r>
        <w:rPr/>
        <w:t>(5), 565–572. https://doi.org/10.1111/2041-210X.12511</w:t>
      </w:r>
    </w:p>
    <w:p>
      <w:pPr>
        <w:pStyle w:val="Bibliography"/>
        <w:rPr/>
      </w:pPr>
      <w:r>
        <w:rPr/>
        <w:t xml:space="preserve">Adams, D. C., &amp; Collyer, M. L. (2016). On the comparison of the strength of morphological integration across morphometric datasets. </w:t>
      </w:r>
      <w:r>
        <w:rPr>
          <w:i/>
          <w:iCs/>
        </w:rPr>
        <w:t>Evolution</w:t>
      </w:r>
      <w:r>
        <w:rPr/>
        <w:t xml:space="preserve">, </w:t>
      </w:r>
      <w:r>
        <w:rPr>
          <w:i/>
          <w:iCs/>
        </w:rPr>
        <w:t>70</w:t>
      </w:r>
      <w:r>
        <w:rPr/>
        <w:t>(11), 2623–2631. https://doi.org/10.1111/evo.13045</w:t>
      </w:r>
    </w:p>
    <w:p>
      <w:pPr>
        <w:pStyle w:val="Bibliography"/>
        <w:rPr/>
      </w:pPr>
      <w:r>
        <w:rPr/>
        <w:t xml:space="preserve">Adams, D. C., &amp; Collyer, M. L. (2019). Comparing the strength of modular signal, and evaluating alternative modular hypotheses, using covariance ratio effect sizes with morphometric data. </w:t>
      </w:r>
      <w:r>
        <w:rPr>
          <w:i/>
          <w:iCs/>
        </w:rPr>
        <w:t>Evolution</w:t>
      </w:r>
      <w:r>
        <w:rPr/>
        <w:t xml:space="preserve">, </w:t>
      </w:r>
      <w:r>
        <w:rPr>
          <w:i/>
          <w:iCs/>
        </w:rPr>
        <w:t>73</w:t>
      </w:r>
      <w:r>
        <w:rPr/>
        <w:t>(12), 2352–2367. https://doi.org/10.1111/evo.13867</w:t>
      </w:r>
    </w:p>
    <w:p>
      <w:pPr>
        <w:pStyle w:val="Bibliography"/>
        <w:rPr/>
      </w:pPr>
      <w:r>
        <w:rPr/>
        <w:t xml:space="preserve">Adams, D. C., &amp; Otárola-Castillo, E. (2013). geomorph: An R package for the collection and analysis of geometric morphometric shape data. </w:t>
      </w:r>
      <w:r>
        <w:rPr>
          <w:i/>
          <w:iCs/>
        </w:rPr>
        <w:t>Methods in Ecology and Evolution</w:t>
      </w:r>
      <w:r>
        <w:rPr/>
        <w:t xml:space="preserve">, </w:t>
      </w:r>
      <w:r>
        <w:rPr>
          <w:i/>
          <w:iCs/>
        </w:rPr>
        <w:t>4</w:t>
      </w:r>
      <w:r>
        <w:rPr/>
        <w:t>(4), 393–399. https://doi.org/10.1111/2041-210X.12035</w:t>
      </w:r>
    </w:p>
    <w:p>
      <w:pPr>
        <w:pStyle w:val="Bibliography"/>
        <w:rPr/>
      </w:pPr>
      <w:r>
        <w:rPr/>
        <w:t xml:space="preserve">Babcock, L. E. (2005). Asymmetry in the fossil record. </w:t>
      </w:r>
      <w:r>
        <w:rPr>
          <w:i/>
          <w:iCs/>
        </w:rPr>
        <w:t>European Review</w:t>
      </w:r>
      <w:r>
        <w:rPr/>
        <w:t xml:space="preserve">, </w:t>
      </w:r>
      <w:r>
        <w:rPr>
          <w:i/>
          <w:iCs/>
        </w:rPr>
        <w:t>13</w:t>
      </w:r>
      <w:r>
        <w:rPr/>
        <w:t>(S2), 135–143. https://doi.org/10.1017/S1062798705000712</w:t>
      </w:r>
    </w:p>
    <w:p>
      <w:pPr>
        <w:pStyle w:val="Bibliography"/>
        <w:rPr/>
      </w:pPr>
      <w:r>
        <w:rPr/>
        <w:t xml:space="preserve">Ball, G. E. (1992). The Tribe Licinini (Coleoptera: Carabidae): A Review of the Genus-Groups and of the Species of Selected Genera. </w:t>
      </w:r>
      <w:r>
        <w:rPr>
          <w:i/>
          <w:iCs/>
        </w:rPr>
        <w:t>Journal of the New York Entomological Society</w:t>
      </w:r>
      <w:r>
        <w:rPr/>
        <w:t xml:space="preserve">, </w:t>
      </w:r>
      <w:r>
        <w:rPr>
          <w:i/>
          <w:iCs/>
        </w:rPr>
        <w:t>100</w:t>
      </w:r>
      <w:r>
        <w:rPr/>
        <w:t>(2), 325–380.</w:t>
      </w:r>
    </w:p>
    <w:p>
      <w:pPr>
        <w:pStyle w:val="Bibliography"/>
        <w:rPr/>
      </w:pPr>
      <w:r>
        <w:rPr/>
        <w:t xml:space="preserve">Benítez, H., Lemic, D., Villalobos-Leiva, A., Bažok, R., Órdenes-Claveria, R., Pajač Živković, I., &amp; Mikac, K. (2020). Breaking Symmetry: Fluctuating Asymmetry and Geometric Morphometrics as Tools for Evaluating Developmental Instability under Diverse Agroecosystems. </w:t>
      </w:r>
      <w:r>
        <w:rPr>
          <w:i/>
          <w:iCs/>
        </w:rPr>
        <w:t>Symmetry</w:t>
      </w:r>
      <w:r>
        <w:rPr/>
        <w:t xml:space="preserve">, </w:t>
      </w:r>
      <w:r>
        <w:rPr>
          <w:i/>
          <w:iCs/>
        </w:rPr>
        <w:t>12</w:t>
      </w:r>
      <w:r>
        <w:rPr/>
        <w:t>(11), 1789. https://doi.org/10.3390/sym12111789</w:t>
      </w:r>
    </w:p>
    <w:p>
      <w:pPr>
        <w:pStyle w:val="Bibliography"/>
        <w:rPr/>
      </w:pPr>
      <w:r>
        <w:rPr/>
        <w:t xml:space="preserve">Brown, N. A., &amp; Wolpert, L. (1990). The development of handedness in left/right asymmetry. </w:t>
      </w:r>
      <w:r>
        <w:rPr>
          <w:i/>
          <w:iCs/>
        </w:rPr>
        <w:t>Development</w:t>
      </w:r>
      <w:r>
        <w:rPr/>
        <w:t xml:space="preserve">, </w:t>
      </w:r>
      <w:r>
        <w:rPr>
          <w:i/>
          <w:iCs/>
        </w:rPr>
        <w:t>109</w:t>
      </w:r>
      <w:r>
        <w:rPr/>
        <w:t>(1), 1–9. https://doi.org/10.1242/dev.109.1.1</w:t>
      </w:r>
    </w:p>
    <w:p>
      <w:pPr>
        <w:pStyle w:val="Bibliography"/>
        <w:rPr/>
      </w:pPr>
      <w:r>
        <w:rPr/>
        <w:t xml:space="preserve">Cardini, A. (2019). Integration and Modularity in Procrustes Shape Data: Is There a Risk of Spurious Results? </w:t>
      </w:r>
      <w:r>
        <w:rPr>
          <w:i/>
          <w:iCs/>
        </w:rPr>
        <w:t>Evolutionary Biology</w:t>
      </w:r>
      <w:r>
        <w:rPr/>
        <w:t xml:space="preserve">, </w:t>
      </w:r>
      <w:r>
        <w:rPr>
          <w:i/>
          <w:iCs/>
        </w:rPr>
        <w:t>46</w:t>
      </w:r>
      <w:r>
        <w:rPr/>
        <w:t>(1), 90–105. https://doi.org/10.1007/s11692-018-9463-x</w:t>
      </w:r>
    </w:p>
    <w:p>
      <w:pPr>
        <w:pStyle w:val="Bibliography"/>
        <w:rPr/>
      </w:pPr>
      <w:r>
        <w:rPr/>
        <w:t xml:space="preserve">Cardini,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rPr/>
        <w:t>. EcoEvoRxiv.</w:t>
      </w:r>
    </w:p>
    <w:p>
      <w:pPr>
        <w:pStyle w:val="Bibliography"/>
        <w:rPr/>
      </w:pPr>
      <w:r>
        <w:rPr/>
        <w:t xml:space="preserve">Chapman, R. F. (1964). The structure and wear of the mandibles in some African grasshoppers. </w:t>
      </w:r>
      <w:r>
        <w:rPr>
          <w:i/>
          <w:iCs/>
        </w:rPr>
        <w:t>Proceedings of the Zoological Society of London</w:t>
      </w:r>
      <w:r>
        <w:rPr/>
        <w:t xml:space="preserve">, </w:t>
      </w:r>
      <w:r>
        <w:rPr>
          <w:i/>
          <w:iCs/>
        </w:rPr>
        <w:t>142</w:t>
      </w:r>
      <w:r>
        <w:rPr/>
        <w:t>(1), 107–122. https://doi.org/10.1111/j.1469-7998.1964.tb05157.x</w:t>
      </w:r>
    </w:p>
    <w:p>
      <w:pPr>
        <w:pStyle w:val="Bibliography"/>
        <w:rPr/>
      </w:pPr>
      <w:r>
        <w:rPr/>
        <w:t xml:space="preserve">Churchill, M., Miguel, J., Beatty, B. L., Goswami, A., &amp; Geisler, J. H. (2019). Asymmetry drives modularity of the skull in the common dolphin ( </w:t>
      </w:r>
      <w:r>
        <w:rPr>
          <w:i/>
          <w:iCs/>
        </w:rPr>
        <w:t>Delphinus delphis</w:t>
      </w:r>
      <w:r>
        <w:rPr/>
        <w:t xml:space="preserve"> ). </w:t>
      </w:r>
      <w:r>
        <w:rPr>
          <w:i/>
          <w:iCs/>
        </w:rPr>
        <w:t>Biological Journal of the Linnean Society</w:t>
      </w:r>
      <w:r>
        <w:rPr/>
        <w:t xml:space="preserve">, </w:t>
      </w:r>
      <w:r>
        <w:rPr>
          <w:i/>
          <w:iCs/>
        </w:rPr>
        <w:t>126</w:t>
      </w:r>
      <w:r>
        <w:rPr/>
        <w:t>(2), 225–239. https://doi.org/10.1093/biolinnean/bly190</w:t>
      </w:r>
    </w:p>
    <w:p>
      <w:pPr>
        <w:pStyle w:val="Bibliography"/>
        <w:rPr/>
      </w:pPr>
      <w:r>
        <w:rPr/>
        <w:t xml:space="preserve">Claude, J. (2008). </w:t>
      </w:r>
      <w:r>
        <w:rPr>
          <w:i/>
          <w:iCs/>
        </w:rPr>
        <w:t>Morphometrics with R</w:t>
      </w:r>
      <w:r>
        <w:rPr/>
        <w:t>. Springer.</w:t>
      </w:r>
    </w:p>
    <w:p>
      <w:pPr>
        <w:pStyle w:val="Bibliography"/>
        <w:rPr/>
      </w:pPr>
      <w:r>
        <w:rPr/>
        <w:t xml:space="preserve">Clissold, F. J. (2007). The Biomechanics of Chewing and Plant Fracture: Mechanisms and Implications. In </w:t>
      </w:r>
      <w:r>
        <w:rPr>
          <w:i/>
          <w:iCs/>
        </w:rPr>
        <w:t>Advances in Insect Physiology</w:t>
      </w:r>
      <w:r>
        <w:rPr/>
        <w:t xml:space="preserve"> (Vol. 34, pp. 317–372). Elsevier. https://doi.org/10.1016/S0065-2806(07)34006-X</w:t>
      </w:r>
    </w:p>
    <w:p>
      <w:pPr>
        <w:pStyle w:val="Bibliography"/>
        <w:rPr/>
      </w:pPr>
      <w:r>
        <w:rPr/>
        <w:t xml:space="preserve">Clune, J., Mouret, J.-B., &amp; Lipson, H. (2013). The evolutionary origins of modularity. </w:t>
      </w:r>
      <w:r>
        <w:rPr>
          <w:i/>
          <w:iCs/>
        </w:rPr>
        <w:t>Proceedings of the Royal Society B: Biological Sciences</w:t>
      </w:r>
      <w:r>
        <w:rPr/>
        <w:t xml:space="preserve">, </w:t>
      </w:r>
      <w:r>
        <w:rPr>
          <w:i/>
          <w:iCs/>
        </w:rPr>
        <w:t>280</w:t>
      </w:r>
      <w:r>
        <w:rPr/>
        <w:t>(1755), 20122863. https://doi.org/10.1098/rspb.2012.2863</w:t>
      </w:r>
    </w:p>
    <w:p>
      <w:pPr>
        <w:pStyle w:val="Bibliography"/>
        <w:rPr/>
      </w:pPr>
      <w:r>
        <w:rPr/>
        <w:t xml:space="preserve">del Castillo, D. L., Segura, V., Flores, D. A., &amp; Cappozzo, H. L. (2016). Cranial development and directional asymmetry in Commerson’s dolphin, </w:t>
      </w:r>
      <w:r>
        <w:rPr>
          <w:i/>
          <w:iCs/>
        </w:rPr>
        <w:t>Cephalorhynchus commersonii commersonii</w:t>
      </w:r>
      <w:r>
        <w:rPr/>
        <w:t xml:space="preserve">: 3D geometric morphometric approach. </w:t>
      </w:r>
      <w:r>
        <w:rPr>
          <w:i/>
          <w:iCs/>
        </w:rPr>
        <w:t>Journal of Mammalogy</w:t>
      </w:r>
      <w:r>
        <w:rPr/>
        <w:t xml:space="preserve">, </w:t>
      </w:r>
      <w:r>
        <w:rPr>
          <w:i/>
          <w:iCs/>
        </w:rPr>
        <w:t>97</w:t>
      </w:r>
      <w:r>
        <w:rPr/>
        <w:t>(5), 1345–1354. https://doi.org/10.1093/jmammal/gyw101</w:t>
      </w:r>
    </w:p>
    <w:p>
      <w:pPr>
        <w:pStyle w:val="Bibliography"/>
        <w:rPr/>
      </w:pPr>
      <w:r>
        <w:rPr/>
        <w:t xml:space="preserve">del Castillo, D. L., Viglino, M., Flores, D. A., &amp; Cappozzo, H. L. (2017). Skull ontogeny and modularity in two species of </w:t>
      </w:r>
      <w:r>
        <w:rPr>
          <w:i/>
          <w:iCs/>
        </w:rPr>
        <w:t>Lagenorhynchus</w:t>
      </w:r>
      <w:r>
        <w:rPr/>
        <w:t xml:space="preserve">: Morphological and ecological implications. </w:t>
      </w:r>
      <w:r>
        <w:rPr>
          <w:i/>
          <w:iCs/>
        </w:rPr>
        <w:t>Journal of Morphology</w:t>
      </w:r>
      <w:r>
        <w:rPr/>
        <w:t xml:space="preserve">, </w:t>
      </w:r>
      <w:r>
        <w:rPr>
          <w:i/>
          <w:iCs/>
        </w:rPr>
        <w:t>278</w:t>
      </w:r>
      <w:r>
        <w:rPr/>
        <w:t>(2), 203–214. https://doi.org/10.1002/jmor.20629</w:t>
      </w:r>
    </w:p>
    <w:p>
      <w:pPr>
        <w:pStyle w:val="Bibliography"/>
        <w:rPr/>
      </w:pPr>
      <w:r>
        <w:rPr/>
        <w:t xml:space="preserve">Evans, K. M., Larouche, O., Watson, S.-J., Farina, S., Habegger, M. L., &amp; Friedman, M. (2021). Integration drives rapid phenotypic evolution in flatfishes. </w:t>
      </w:r>
      <w:r>
        <w:rPr>
          <w:i/>
          <w:iCs/>
        </w:rPr>
        <w:t>Proceedings of the National Academy of Sciences</w:t>
      </w:r>
      <w:r>
        <w:rPr/>
        <w:t xml:space="preserve">, </w:t>
      </w:r>
      <w:r>
        <w:rPr>
          <w:i/>
          <w:iCs/>
        </w:rPr>
        <w:t>118</w:t>
      </w:r>
      <w:r>
        <w:rPr/>
        <w:t>(18), e2101330118. https://doi.org/10.1073/pnas.2101330118</w:t>
      </w:r>
    </w:p>
    <w:p>
      <w:pPr>
        <w:pStyle w:val="Bibliography"/>
        <w:rPr/>
      </w:pPr>
      <w:r>
        <w:rPr/>
        <w:t xml:space="preserve">Goswami, A., &amp; Finarelli, J. A. (2016). EMMLi: A maximum likelihood approach to the analysis of modularity. </w:t>
      </w:r>
      <w:r>
        <w:rPr>
          <w:i/>
          <w:iCs/>
        </w:rPr>
        <w:t>Evolution</w:t>
      </w:r>
      <w:r>
        <w:rPr/>
        <w:t xml:space="preserve">, </w:t>
      </w:r>
      <w:r>
        <w:rPr>
          <w:i/>
          <w:iCs/>
        </w:rPr>
        <w:t>70</w:t>
      </w:r>
      <w:r>
        <w:rPr/>
        <w:t>(7), 1622–1637. https://doi.org/10.1111/evo.12956</w:t>
      </w:r>
    </w:p>
    <w:p>
      <w:pPr>
        <w:pStyle w:val="Bibliography"/>
        <w:rPr/>
      </w:pPr>
      <w:r>
        <w:rPr/>
        <w:t xml:space="preserve">Govind, C. K. (1989). Asymmetry in Lobster Claws. </w:t>
      </w:r>
      <w:r>
        <w:rPr>
          <w:i/>
          <w:iCs/>
        </w:rPr>
        <w:t>American Naturalist</w:t>
      </w:r>
      <w:r>
        <w:rPr/>
        <w:t xml:space="preserve">, </w:t>
      </w:r>
      <w:r>
        <w:rPr>
          <w:i/>
          <w:iCs/>
        </w:rPr>
        <w:t>77</w:t>
      </w:r>
      <w:r>
        <w:rPr/>
        <w:t>(5), 468–474.</w:t>
      </w:r>
    </w:p>
    <w:p>
      <w:pPr>
        <w:pStyle w:val="Bibliography"/>
        <w:rPr/>
      </w:pPr>
      <w:r>
        <w:rPr/>
        <w:t xml:space="preserve">Govind, C. K., &amp; Blundon, J. A. (1985). Form and function of the asymmetric chelae in blue crabs with normal and reversed handedness. </w:t>
      </w:r>
      <w:r>
        <w:rPr>
          <w:i/>
          <w:iCs/>
        </w:rPr>
        <w:t>The Biological Bulletin</w:t>
      </w:r>
      <w:r>
        <w:rPr/>
        <w:t xml:space="preserve">, </w:t>
      </w:r>
      <w:r>
        <w:rPr>
          <w:i/>
          <w:iCs/>
        </w:rPr>
        <w:t>168</w:t>
      </w:r>
      <w:r>
        <w:rPr/>
        <w:t>(2), 321–331. https://doi.org/10.2307/1541244</w:t>
      </w:r>
    </w:p>
    <w:p>
      <w:pPr>
        <w:pStyle w:val="Bibliography"/>
        <w:rPr/>
      </w:pPr>
      <w:r>
        <w:rPr/>
        <w:t xml:space="preserve">Graham, J. H., Freeman, D. C., &amp; Emlen, J. M. (1994). Antisymmetry, directional asymmetry, and dynamic morphogenesis. In T. A. Markow (Ed.), </w:t>
      </w:r>
      <w:r>
        <w:rPr>
          <w:i/>
          <w:iCs/>
        </w:rPr>
        <w:t>Developmental Instability: Its Origins and Evolutionary Implications</w:t>
      </w:r>
      <w:r>
        <w:rPr/>
        <w:t xml:space="preserve"> (Springer Netherlands, Vol. 2, pp. 123–139). Kluwer Academic Publishers. https://doi.org/10.1007/978-94-011-0830-0_10</w:t>
      </w:r>
    </w:p>
    <w:p>
      <w:pPr>
        <w:pStyle w:val="Bibliography"/>
        <w:rPr/>
      </w:pPr>
      <w:r>
        <w:rPr/>
        <w:t xml:space="preserve">Hansen, T. F. (2003). </w:t>
      </w:r>
      <w:r>
        <w:rPr>
          <w:i/>
          <w:iCs/>
        </w:rPr>
        <w:t>Is modularity necessary for evolvability? Remarks on the relationship between pleiotropy and evolvability</w:t>
      </w:r>
      <w:r>
        <w:rPr/>
        <w:t>.</w:t>
      </w:r>
    </w:p>
    <w:p>
      <w:pPr>
        <w:pStyle w:val="Bibliography"/>
        <w:rPr>
          <w:lang w:val="de-DE"/>
        </w:rPr>
      </w:pPr>
      <w:r>
        <w:rPr/>
        <w:t xml:space="preserve">Hansen, T. F., Carter, A. J. R., &amp; Pélabon, C. (2006). On Adaptive Accuracy and Precision in Natural Populations. </w:t>
      </w:r>
      <w:r>
        <w:rPr>
          <w:i/>
          <w:iCs/>
          <w:lang w:val="de-DE"/>
        </w:rPr>
        <w:t>The American Naturalist</w:t>
      </w:r>
      <w:r>
        <w:rPr>
          <w:lang w:val="de-DE"/>
        </w:rPr>
        <w:t xml:space="preserve">, </w:t>
      </w:r>
      <w:r>
        <w:rPr>
          <w:i/>
          <w:iCs/>
          <w:lang w:val="de-DE"/>
        </w:rPr>
        <w:t>168</w:t>
      </w:r>
      <w:r>
        <w:rPr>
          <w:lang w:val="de-DE"/>
        </w:rPr>
        <w:t>(2), 168–181. https://doi.org/10.1086/505768</w:t>
      </w:r>
    </w:p>
    <w:p>
      <w:pPr>
        <w:pStyle w:val="Bibliography"/>
        <w:rPr/>
      </w:pPr>
      <w:r>
        <w:rPr>
          <w:lang w:val="de-DE"/>
        </w:rPr>
        <w:t xml:space="preserve">Huggenberger, S., Leidenberger, S., &amp; Oelschläger, H. H. A. (2017). </w:t>
      </w:r>
      <w:r>
        <w:rPr/>
        <w:t xml:space="preserve">Asymmetry of the nasofacial skull in toothed whales (Odontoceti). </w:t>
      </w:r>
      <w:r>
        <w:rPr>
          <w:i/>
          <w:iCs/>
        </w:rPr>
        <w:t>Journal of Zoology</w:t>
      </w:r>
      <w:r>
        <w:rPr/>
        <w:t xml:space="preserve">, </w:t>
      </w:r>
      <w:r>
        <w:rPr>
          <w:i/>
          <w:iCs/>
        </w:rPr>
        <w:t>302</w:t>
      </w:r>
      <w:r>
        <w:rPr/>
        <w:t>(1), 15–23. https://doi.org/10.1111/jzo.12425</w:t>
      </w:r>
    </w:p>
    <w:p>
      <w:pPr>
        <w:pStyle w:val="Bibliography"/>
        <w:rPr/>
      </w:pPr>
      <w:r>
        <w:rPr/>
        <w:t xml:space="preserve">Klingenberg, C. P. (2022). Shape asymmetry—What’s new? </w:t>
      </w:r>
      <w:r>
        <w:rPr>
          <w:i/>
          <w:iCs/>
        </w:rPr>
        <w:t>Emerging Topics in Life Sciences</w:t>
      </w:r>
      <w:r>
        <w:rPr/>
        <w:t xml:space="preserve">, </w:t>
      </w:r>
      <w:r>
        <w:rPr>
          <w:i/>
          <w:iCs/>
        </w:rPr>
        <w:t>6</w:t>
      </w:r>
      <w:r>
        <w:rPr/>
        <w:t>(3), 285–294. https://doi.org/10.1042/ETLS20210273</w:t>
      </w:r>
    </w:p>
    <w:p>
      <w:pPr>
        <w:pStyle w:val="Bibliography"/>
        <w:rPr/>
      </w:pPr>
      <w:r>
        <w:rPr/>
        <w:t xml:space="preserve">Klingenberg, C. P., Badyaev, A. V., Sowry, S. M., &amp; Beckwith, N. J. (2001). Inferring Developmental Modularity from Morphological Integration: Analysis of Individual Variation and Asymmetry in Bumblebee Wings. </w:t>
      </w:r>
      <w:r>
        <w:rPr>
          <w:i/>
          <w:iCs/>
        </w:rPr>
        <w:t>The American Naturalist</w:t>
      </w:r>
      <w:r>
        <w:rPr/>
        <w:t xml:space="preserve">, </w:t>
      </w:r>
      <w:r>
        <w:rPr>
          <w:i/>
          <w:iCs/>
        </w:rPr>
        <w:t>157</w:t>
      </w:r>
      <w:r>
        <w:rPr/>
        <w:t>(1), 11–23. https://doi.org/10.1086/317002</w:t>
      </w:r>
    </w:p>
    <w:p>
      <w:pPr>
        <w:pStyle w:val="Bibliography"/>
        <w:rPr/>
      </w:pPr>
      <w:r>
        <w:rPr/>
        <w:t xml:space="preserve">Klingenberg, C. P., McIntyre, G. S., &amp; Zaklan, S. D. (1998). Left-right asymmetry of fly wings and the evolution of body axes. </w:t>
      </w:r>
      <w:r>
        <w:rPr>
          <w:i/>
          <w:iCs/>
        </w:rPr>
        <w:t>Proceedings of the Royal Society B: Biological Sciences</w:t>
      </w:r>
      <w:r>
        <w:rPr/>
        <w:t xml:space="preserve">, </w:t>
      </w:r>
      <w:r>
        <w:rPr>
          <w:i/>
          <w:iCs/>
        </w:rPr>
        <w:t>265</w:t>
      </w:r>
      <w:r>
        <w:rPr/>
        <w:t>, 1255–1259. https://doi.org/10.1098/rspb.1998.0427</w:t>
      </w:r>
    </w:p>
    <w:p>
      <w:pPr>
        <w:pStyle w:val="Bibliography"/>
        <w:rPr/>
      </w:pPr>
      <w:r>
        <w:rPr/>
        <w:t xml:space="preserve">Laeta, M., Oliveira, J. A., Siciliano, S., Lambert, O., Jensen, F. H., &amp; Galatius, A. (2023). Cranial asymmetry in odontocetes: A facilitator of sonic exploration? </w:t>
      </w:r>
      <w:r>
        <w:rPr>
          <w:i/>
          <w:iCs/>
        </w:rPr>
        <w:t>Zoology</w:t>
      </w:r>
      <w:r>
        <w:rPr/>
        <w:t xml:space="preserve">, </w:t>
      </w:r>
      <w:r>
        <w:rPr>
          <w:i/>
          <w:iCs/>
        </w:rPr>
        <w:t>160</w:t>
      </w:r>
      <w:r>
        <w:rPr/>
        <w:t>, 126108. https://doi.org/10.1016/j.zool.2023.126108</w:t>
      </w:r>
    </w:p>
    <w:p>
      <w:pPr>
        <w:pStyle w:val="Bibliography"/>
        <w:rPr/>
      </w:pPr>
      <w:r>
        <w:rPr/>
        <w:t xml:space="preserve">Lanzetti, A., Coombs, E. J., Miguez, R. P., Fernandez, V., &amp; Goswami, A. (2022). The ontogeny of asymmetry in echolocating whales. </w:t>
      </w:r>
      <w:r>
        <w:rPr>
          <w:i/>
          <w:iCs/>
        </w:rPr>
        <w:t>Proceedings of the Royal Society B: Biological Sciences</w:t>
      </w:r>
      <w:r>
        <w:rPr/>
        <w:t xml:space="preserve">, </w:t>
      </w:r>
      <w:r>
        <w:rPr>
          <w:i/>
          <w:iCs/>
        </w:rPr>
        <w:t>289</w:t>
      </w:r>
      <w:r>
        <w:rPr/>
        <w:t>, 20221090. https://doi.org/10.1098/rspb.2022.1090</w:t>
      </w:r>
    </w:p>
    <w:p>
      <w:pPr>
        <w:pStyle w:val="Bibliography"/>
        <w:rPr/>
      </w:pPr>
      <w:r>
        <w:rPr/>
        <w:t xml:space="preserve">Lebrun, R. (2018). </w:t>
      </w:r>
      <w:r>
        <w:rPr>
          <w:i/>
          <w:iCs/>
        </w:rPr>
        <w:t>MorphoDig, an open-source 3D freeware dedicated to biology</w:t>
      </w:r>
      <w:r>
        <w:rPr/>
        <w:t xml:space="preserve"> [Computer software].</w:t>
      </w:r>
    </w:p>
    <w:p>
      <w:pPr>
        <w:pStyle w:val="Bibliography"/>
        <w:rPr/>
      </w:pPr>
      <w:r>
        <w:rPr/>
        <w:t xml:space="preserve">Levinton, J. S. (2016). Bilateral linkage of monomorphic and dimorphic limb sizes in fiddler crabs. </w:t>
      </w:r>
      <w:r>
        <w:rPr>
          <w:i/>
          <w:iCs/>
        </w:rPr>
        <w:t>Biological Journal of the Linnean Society</w:t>
      </w:r>
      <w:r>
        <w:rPr/>
        <w:t xml:space="preserve">, </w:t>
      </w:r>
      <w:r>
        <w:rPr>
          <w:i/>
          <w:iCs/>
        </w:rPr>
        <w:t>119</w:t>
      </w:r>
      <w:r>
        <w:rPr/>
        <w:t>(2), 370–380. https://doi.org/10.1111/bij.12809</w:t>
      </w:r>
    </w:p>
    <w:p>
      <w:pPr>
        <w:pStyle w:val="Bibliography"/>
        <w:rPr/>
      </w:pPr>
      <w:r>
        <w:rPr/>
        <w:t xml:space="preserve">Macleod, C. D., Reidenberg, J. S., Weller, M., Santos, M. B., Herman, J., Goold, J., &amp; Pierce, G. J. (2007). Breaking symmetry: The marine environment, prey size, and the evolution of asymmetry in cetacean skulls. </w:t>
      </w:r>
      <w:r>
        <w:rPr>
          <w:i/>
          <w:iCs/>
        </w:rPr>
        <w:t>The Anatomical Record</w:t>
      </w:r>
      <w:r>
        <w:rPr/>
        <w:t xml:space="preserve">, </w:t>
      </w:r>
      <w:r>
        <w:rPr>
          <w:i/>
          <w:iCs/>
        </w:rPr>
        <w:t>290</w:t>
      </w:r>
      <w:r>
        <w:rPr/>
        <w:t>(6), 539–545. https://doi.org/10.1002/ar.20539</w:t>
      </w:r>
    </w:p>
    <w:p>
      <w:pPr>
        <w:pStyle w:val="Bibliography"/>
        <w:rPr/>
      </w:pPr>
      <w:r>
        <w:rPr/>
        <w:t xml:space="preserve">Meinhardt, H. (2001). Organizer and axes formation as a self-organizing process. </w:t>
      </w:r>
      <w:r>
        <w:rPr>
          <w:i/>
          <w:iCs/>
        </w:rPr>
        <w:t>International Journal of Developmental Biology</w:t>
      </w:r>
      <w:r>
        <w:rPr/>
        <w:t xml:space="preserve">, </w:t>
      </w:r>
      <w:r>
        <w:rPr>
          <w:i/>
          <w:iCs/>
        </w:rPr>
        <w:t>45</w:t>
      </w:r>
      <w:r>
        <w:rPr/>
        <w:t>, 177–188.</w:t>
      </w:r>
    </w:p>
    <w:p>
      <w:pPr>
        <w:pStyle w:val="Bibliography"/>
        <w:rPr/>
      </w:pPr>
      <w:r>
        <w:rPr/>
        <w:t xml:space="preserve">Minelli, A., Boxshall, G., &amp; Fusco, G. (Eds.). (2013). </w:t>
      </w:r>
      <w:r>
        <w:rPr>
          <w:i/>
          <w:iCs/>
        </w:rPr>
        <w:t>Arthropod Biology and Evolution: Molecules, Development, Morphology</w:t>
      </w:r>
      <w:r>
        <w:rPr/>
        <w:t>. Springer Berlin Heidelberg. https://doi.org/10.1007/978-3-642-36160-9</w:t>
      </w:r>
    </w:p>
    <w:p>
      <w:pPr>
        <w:pStyle w:val="Bibliography"/>
        <w:rPr/>
      </w:pPr>
      <w:r>
        <w:rPr/>
        <w:t xml:space="preserve">Møller, A. P. (1990). Fluctuating asymmetry in male sexual ornaments may reliably reveal male quality. </w:t>
      </w:r>
      <w:r>
        <w:rPr>
          <w:i/>
          <w:iCs/>
        </w:rPr>
        <w:t>Animal Behaviour</w:t>
      </w:r>
      <w:r>
        <w:rPr/>
        <w:t xml:space="preserve">, </w:t>
      </w:r>
      <w:r>
        <w:rPr>
          <w:i/>
          <w:iCs/>
        </w:rPr>
        <w:t>40</w:t>
      </w:r>
      <w:r>
        <w:rPr/>
        <w:t>(6), 1185–1187. https://doi.org/10.1016/S0003-3472(05)80187-3</w:t>
      </w:r>
    </w:p>
    <w:p>
      <w:pPr>
        <w:pStyle w:val="Bibliography"/>
        <w:rPr/>
      </w:pPr>
      <w:r>
        <w:rPr/>
        <w:t xml:space="preserve">Neubauer, S., Gunz, P., Scott, N. A., Hublin, J.-J., &amp; Mitteroecker, P. (2020). Evolution of brain lateralization: A shared hominid pattern of endocranial asymmetry is much more variable in humans than in great apes. </w:t>
      </w:r>
      <w:r>
        <w:rPr>
          <w:i/>
          <w:iCs/>
        </w:rPr>
        <w:t>Science Advances</w:t>
      </w:r>
      <w:r>
        <w:rPr/>
        <w:t xml:space="preserve">, </w:t>
      </w:r>
      <w:r>
        <w:rPr>
          <w:i/>
          <w:iCs/>
        </w:rPr>
        <w:t>6</w:t>
      </w:r>
      <w:r>
        <w:rPr/>
        <w:t>(7), eaax9935. https://doi.org/10.1126/sciadv.aax9935</w:t>
      </w:r>
    </w:p>
    <w:p>
      <w:pPr>
        <w:pStyle w:val="Bibliography"/>
        <w:rPr/>
      </w:pPr>
      <w:r>
        <w:rPr/>
        <w:t xml:space="preserve">Nogueira, C. S., da Silva, A. R., &amp; Palaoro, A. V. (2022). Fighting does not influence the morphological integration of crustacean claws (Decapoda: Aeglidae). </w:t>
      </w:r>
      <w:r>
        <w:rPr>
          <w:i/>
          <w:iCs/>
        </w:rPr>
        <w:t>Biological Journal of the Linnean Society</w:t>
      </w:r>
      <w:r>
        <w:rPr/>
        <w:t xml:space="preserve">, </w:t>
      </w:r>
      <w:r>
        <w:rPr>
          <w:i/>
          <w:iCs/>
        </w:rPr>
        <w:t>136</w:t>
      </w:r>
      <w:r>
        <w:rPr/>
        <w:t>(1), 173–186. https://doi.org/10.1093/biolinnean/blac026</w:t>
      </w:r>
    </w:p>
    <w:p>
      <w:pPr>
        <w:pStyle w:val="Bibliography"/>
        <w:rPr/>
      </w:pPr>
      <w:r>
        <w:rPr/>
        <w:t xml:space="preserve">Palmer, A. R. (1994). Fluctuating asymmetry analyses: A primer. In T. A. Markow (Ed.), </w:t>
      </w:r>
      <w:r>
        <w:rPr>
          <w:i/>
          <w:iCs/>
        </w:rPr>
        <w:t>Developmental Instability: Its Origins and Evolutionary Implications</w:t>
      </w:r>
      <w:r>
        <w:rPr/>
        <w:t xml:space="preserve"> (Vol. 2, pp. 335–364). Springer Netherlands. https://doi.org/10.1007/978-94-011-0830-0_26</w:t>
      </w:r>
    </w:p>
    <w:p>
      <w:pPr>
        <w:pStyle w:val="Bibliography"/>
        <w:rPr/>
      </w:pPr>
      <w:r>
        <w:rPr/>
        <w:t xml:space="preserve">Palmer, A. R. (1996). From symmetry to asymmetry: Phylogenetic patterns of asymmetry variation in animals and their evolutionary significance. </w:t>
      </w:r>
      <w:r>
        <w:rPr>
          <w:i/>
          <w:iCs/>
        </w:rPr>
        <w:t>Proceedings of the National Academy of Sciences</w:t>
      </w:r>
      <w:r>
        <w:rPr/>
        <w:t xml:space="preserve">, </w:t>
      </w:r>
      <w:r>
        <w:rPr>
          <w:i/>
          <w:iCs/>
        </w:rPr>
        <w:t>93</w:t>
      </w:r>
      <w:r>
        <w:rPr/>
        <w:t>(25), 14279–14286. https://doi.org/10.1073/pnas.93.25.14279</w:t>
      </w:r>
    </w:p>
    <w:p>
      <w:pPr>
        <w:pStyle w:val="Bibliography"/>
        <w:rPr/>
      </w:pPr>
      <w:r>
        <w:rPr/>
        <w:t xml:space="preserve">Palmer, A. R. (2004). Symmetry Breaking and the Evolution of Development. </w:t>
      </w:r>
      <w:r>
        <w:rPr>
          <w:i/>
          <w:iCs/>
        </w:rPr>
        <w:t>Science</w:t>
      </w:r>
      <w:r>
        <w:rPr/>
        <w:t xml:space="preserve">, </w:t>
      </w:r>
      <w:r>
        <w:rPr>
          <w:i/>
          <w:iCs/>
        </w:rPr>
        <w:t>306</w:t>
      </w:r>
      <w:r>
        <w:rPr/>
        <w:t>(5697), 828–833. https://doi.org/10.1126/science.1103707</w:t>
      </w:r>
    </w:p>
    <w:p>
      <w:pPr>
        <w:pStyle w:val="Bibliography"/>
        <w:rPr/>
      </w:pPr>
      <w:r>
        <w:rPr/>
        <w:t xml:space="preserve">Palmer, A. R. (2016). What determines direction of asymmetry: Genes, environment or chance? </w:t>
      </w:r>
      <w:r>
        <w:rPr>
          <w:i/>
          <w:iCs/>
        </w:rPr>
        <w:t>Philosophical Transactions of the Royal Society B: Biological Sciences</w:t>
      </w:r>
      <w:r>
        <w:rPr/>
        <w:t xml:space="preserve">, </w:t>
      </w:r>
      <w:r>
        <w:rPr>
          <w:i/>
          <w:iCs/>
        </w:rPr>
        <w:t>371</w:t>
      </w:r>
      <w:r>
        <w:rPr/>
        <w:t>(1710), 20150417. https://doi.org/10.1098/rstb.2015.0417</w:t>
      </w:r>
    </w:p>
    <w:p>
      <w:pPr>
        <w:pStyle w:val="Bibliography"/>
        <w:rPr/>
      </w:pPr>
      <w:r>
        <w:rPr/>
        <w:t xml:space="preserve">Parr, W. C. H., Wilson, L. A. B., Wroe, S., Colman, N. J., Crowther, M. S., &amp; Letnic, M. (2016). Cranial Shape and the Modularity of Hybridization in Dingoes and Dogs; Hybridization Does Not Spell the End for Native Morphology. </w:t>
      </w:r>
      <w:r>
        <w:rPr>
          <w:i/>
          <w:iCs/>
        </w:rPr>
        <w:t>Evolutionary Biology</w:t>
      </w:r>
      <w:r>
        <w:rPr/>
        <w:t xml:space="preserve">, </w:t>
      </w:r>
      <w:r>
        <w:rPr>
          <w:i/>
          <w:iCs/>
        </w:rPr>
        <w:t>43</w:t>
      </w:r>
      <w:r>
        <w:rPr/>
        <w:t>(2), 171–187. https://doi.org/10.1007/s11692-016-9371-x</w:t>
      </w:r>
    </w:p>
    <w:p>
      <w:pPr>
        <w:pStyle w:val="Bibliography"/>
        <w:rPr/>
      </w:pPr>
      <w:r>
        <w:rPr/>
        <w:t xml:space="preserve">Pélabon, C., &amp; Hansen, T. F. (2008). On the adaptive accuracy of directional asymmetry in insect wing size. </w:t>
      </w:r>
      <w:r>
        <w:rPr>
          <w:i/>
          <w:iCs/>
        </w:rPr>
        <w:t>Evolution</w:t>
      </w:r>
      <w:r>
        <w:rPr/>
        <w:t xml:space="preserve">, </w:t>
      </w:r>
      <w:r>
        <w:rPr>
          <w:i/>
          <w:iCs/>
        </w:rPr>
        <w:t>62</w:t>
      </w:r>
      <w:r>
        <w:rPr/>
        <w:t>(11), 2855–2867. https://doi.org/10.1111/j.1558-5646.2008.00495.x</w:t>
      </w:r>
    </w:p>
    <w:p>
      <w:pPr>
        <w:pStyle w:val="Bibliography"/>
        <w:rPr/>
      </w:pPr>
      <w:r>
        <w:rPr/>
        <w:t xml:space="preserve">Pither, J., &amp; Taylor, P. D. (2000). Directional and fluctuating asymmetry in the black-winged damselfly </w:t>
      </w:r>
      <w:r>
        <w:rPr>
          <w:i/>
          <w:iCs/>
        </w:rPr>
        <w:t>Calopteryx maculata</w:t>
      </w:r>
      <w:r>
        <w:rPr/>
        <w:t xml:space="preserve"> (Beauvois) (Odonata: Calopterygidae). </w:t>
      </w:r>
      <w:r>
        <w:rPr>
          <w:i/>
          <w:iCs/>
        </w:rPr>
        <w:t>Canadian Journal of Zoology</w:t>
      </w:r>
      <w:r>
        <w:rPr/>
        <w:t xml:space="preserve">, </w:t>
      </w:r>
      <w:r>
        <w:rPr>
          <w:i/>
          <w:iCs/>
        </w:rPr>
        <w:t>78</w:t>
      </w:r>
      <w:r>
        <w:rPr/>
        <w:t>(10), 1740–1748. https://doi.org/10.1139/z00-130</w:t>
      </w:r>
    </w:p>
    <w:p>
      <w:pPr>
        <w:pStyle w:val="Bibliography"/>
        <w:rPr/>
      </w:pPr>
      <w:r>
        <w:rPr/>
        <w:t xml:space="preserve">Posnien, N., &amp; Bucher, G. (2010). Formation of the insect head involves lateral contribution of the intercalary segment, which depends on Tc-labial function. </w:t>
      </w:r>
      <w:r>
        <w:rPr>
          <w:i/>
          <w:iCs/>
        </w:rPr>
        <w:t>Developmental Biology</w:t>
      </w:r>
      <w:r>
        <w:rPr/>
        <w:t xml:space="preserve">, </w:t>
      </w:r>
      <w:r>
        <w:rPr>
          <w:i/>
          <w:iCs/>
        </w:rPr>
        <w:t>338</w:t>
      </w:r>
      <w:r>
        <w:rPr/>
        <w:t>(1), 107–116. https://doi.org/10.1016/j.ydbio.2009.11.010</w:t>
      </w:r>
    </w:p>
    <w:p>
      <w:pPr>
        <w:pStyle w:val="Bibliography"/>
        <w:rPr/>
      </w:pPr>
      <w:r>
        <w:rPr/>
        <w:t xml:space="preserve">Pratt, A. E., &amp; Mclain, D. K. (2002). Antisymmetry in male fiddler crabs and the decision to feed or breed. </w:t>
      </w:r>
      <w:r>
        <w:rPr>
          <w:i/>
          <w:iCs/>
        </w:rPr>
        <w:t>Functional Ecology</w:t>
      </w:r>
      <w:r>
        <w:rPr/>
        <w:t xml:space="preserve">, </w:t>
      </w:r>
      <w:r>
        <w:rPr>
          <w:i/>
          <w:iCs/>
        </w:rPr>
        <w:t>16</w:t>
      </w:r>
      <w:r>
        <w:rPr/>
        <w:t>(1), 89–98. https://doi.org/10.1046/j.0269-8463.2001.00605.x</w:t>
      </w:r>
    </w:p>
    <w:p>
      <w:pPr>
        <w:pStyle w:val="Bibliography"/>
        <w:rPr/>
      </w:pPr>
      <w:r>
        <w:rPr/>
        <w:t xml:space="preserve">Püffel, F., Johnston, R., &amp; Labonte, D. (2023). A biomechanical model for the relation between bite force and mandibular opening angle in arthropods. </w:t>
      </w:r>
      <w:r>
        <w:rPr>
          <w:i/>
          <w:iCs/>
        </w:rPr>
        <w:t>Royal Society Open Science</w:t>
      </w:r>
      <w:r>
        <w:rPr/>
        <w:t xml:space="preserve">, </w:t>
      </w:r>
      <w:r>
        <w:rPr>
          <w:i/>
          <w:iCs/>
        </w:rPr>
        <w:t>10</w:t>
      </w:r>
      <w:r>
        <w:rPr/>
        <w:t>, 221066.</w:t>
      </w:r>
    </w:p>
    <w:p>
      <w:pPr>
        <w:pStyle w:val="Bibliography"/>
        <w:rPr/>
      </w:pPr>
      <w:r>
        <w:rPr/>
        <w:t xml:space="preserve">Rühr, P., &amp; Blanke, A. (2022). ForceX and ForceR: A mobile setup and R package to measure and analyse a wide range of animal closing forces. </w:t>
      </w:r>
      <w:r>
        <w:rPr>
          <w:i/>
          <w:iCs/>
        </w:rPr>
        <w:t>Methods in Ecology and Evolution</w:t>
      </w:r>
      <w:r>
        <w:rPr/>
        <w:t xml:space="preserve">, </w:t>
      </w:r>
      <w:r>
        <w:rPr>
          <w:i/>
          <w:iCs/>
        </w:rPr>
        <w:t>13</w:t>
      </w:r>
      <w:r>
        <w:rPr/>
        <w:t>(9), 1938–1948. https://doi.org/10.1111/2041-210X.13909</w:t>
      </w:r>
    </w:p>
    <w:p>
      <w:pPr>
        <w:pStyle w:val="Bibliography"/>
        <w:rPr/>
      </w:pPr>
      <w:r>
        <w:rPr/>
        <w:t xml:space="preserve">Savriama, Y., Vitulo, M., Gerber, S., Debat, V., &amp; Fusco, G. (2016). Modularity and developmental stability in segmented animals: Variation in translational asymmetry in geophilomorph centipedes. </w:t>
      </w:r>
      <w:r>
        <w:rPr>
          <w:i/>
          <w:iCs/>
        </w:rPr>
        <w:t>Development Genes and Evolution</w:t>
      </w:r>
      <w:r>
        <w:rPr/>
        <w:t xml:space="preserve">, </w:t>
      </w:r>
      <w:r>
        <w:rPr>
          <w:i/>
          <w:iCs/>
        </w:rPr>
        <w:t>226</w:t>
      </w:r>
      <w:r>
        <w:rPr/>
        <w:t>(3), 187–196. https://doi.org/10.1007/s00427-016-0538-3</w:t>
      </w:r>
    </w:p>
    <w:p>
      <w:pPr>
        <w:pStyle w:val="Bibliography"/>
        <w:rPr/>
      </w:pPr>
      <w:r>
        <w:rPr/>
        <w:t xml:space="preserve">Tiwari, S., Nambiar, S., &amp; Unnikrishnan, B. (2017). Chewing side preference—Impact on facial symmetry, dentition and temporomandibular joint and its correlation with handedness. </w:t>
      </w:r>
      <w:r>
        <w:rPr>
          <w:i/>
          <w:iCs/>
        </w:rPr>
        <w:t>Journal of Orofacial Sciences</w:t>
      </w:r>
      <w:r>
        <w:rPr/>
        <w:t xml:space="preserve">, </w:t>
      </w:r>
      <w:r>
        <w:rPr>
          <w:i/>
          <w:iCs/>
        </w:rPr>
        <w:t>9</w:t>
      </w:r>
      <w:r>
        <w:rPr/>
        <w:t>(1), 22. https://doi.org/10.4103/jofs.jofs_74_16</w:t>
      </w:r>
    </w:p>
    <w:p>
      <w:pPr>
        <w:pStyle w:val="Bibliography"/>
        <w:rPr/>
      </w:pPr>
      <w:r>
        <w:rPr/>
        <w:t xml:space="preserve">Van Valen, L. (1962). A Study of Fluctuating Asymmetry. </w:t>
      </w:r>
      <w:r>
        <w:rPr>
          <w:i/>
          <w:iCs/>
        </w:rPr>
        <w:t>Evolution</w:t>
      </w:r>
      <w:r>
        <w:rPr/>
        <w:t xml:space="preserve">, </w:t>
      </w:r>
      <w:r>
        <w:rPr>
          <w:i/>
          <w:iCs/>
        </w:rPr>
        <w:t>16</w:t>
      </w:r>
      <w:r>
        <w:rPr/>
        <w:t>(2), 125–142.</w:t>
      </w:r>
    </w:p>
    <w:p>
      <w:pPr>
        <w:pStyle w:val="Bibliography"/>
        <w:rPr/>
      </w:pPr>
      <w:r>
        <w:rPr/>
        <w:t xml:space="preserve">Wagner, G. P., Pavlicev, M., &amp; Cheverud, J. M. (2007). The road to modularity. </w:t>
      </w:r>
      <w:r>
        <w:rPr>
          <w:i/>
          <w:iCs/>
        </w:rPr>
        <w:t>Nature Reviews Genetics</w:t>
      </w:r>
      <w:r>
        <w:rPr/>
        <w:t xml:space="preserve">, </w:t>
      </w:r>
      <w:r>
        <w:rPr>
          <w:i/>
          <w:iCs/>
        </w:rPr>
        <w:t>8</w:t>
      </w:r>
      <w:r>
        <w:rPr/>
        <w:t>(12), 921–931. https://doi.org/10.1038/nrg2267</w:t>
      </w:r>
    </w:p>
    <w:p>
      <w:pPr>
        <w:pStyle w:val="Bibliography"/>
        <w:rPr/>
      </w:pPr>
      <w:r>
        <w:rPr/>
        <w:t xml:space="preserve">Zelditch, M. L., &amp; Goswami, A. (2021). What does modularity mean? </w:t>
      </w:r>
      <w:r>
        <w:rPr>
          <w:i/>
          <w:iCs/>
        </w:rPr>
        <w:t>Evolution &amp; Development</w:t>
      </w:r>
      <w:r>
        <w:rPr/>
        <w:t xml:space="preserve">, </w:t>
      </w:r>
      <w:r>
        <w:rPr>
          <w:i/>
          <w:iCs/>
        </w:rPr>
        <w:t>23</w:t>
      </w:r>
      <w:r>
        <w:rPr/>
        <w:t>(5), 377–403. https://doi.org/10.1111/ede.12390</w:t>
      </w:r>
    </w:p>
    <w:p>
      <w:pPr>
        <w:pStyle w:val="Bibliography"/>
        <w:rPr/>
      </w:pPr>
      <w:r>
        <w:rPr/>
        <w:t xml:space="preserve">Zelditch, M. L., &amp; Swiderski, D. L. (2023). Effects of Procrustes Superimposition and Semilandmark Sliding on Modularity and Integration: An Investigation Using Simulations of Biological Data. </w:t>
      </w:r>
      <w:r>
        <w:rPr>
          <w:i/>
          <w:iCs/>
        </w:rPr>
        <w:t>Evolutionary Biology</w:t>
      </w:r>
      <w:r>
        <w:rPr/>
        <w:t xml:space="preserve">, </w:t>
      </w:r>
      <w:r>
        <w:rPr>
          <w:i/>
          <w:iCs/>
        </w:rPr>
        <w:t>50</w:t>
      </w:r>
      <w:r>
        <w:rPr/>
        <w:t>(2), 147–169. https://doi.org/10.1007/s11692-023-09600-9</w:t>
      </w:r>
      <w:bookmarkEnd w:id="60"/>
    </w:p>
    <w:p>
      <w:pPr>
        <w:pStyle w:val="Bibliography"/>
        <w:spacing w:before="0" w:after="160"/>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 w:name="DejaVu Sans">
    <w:charset w:val="01"/>
    <w:family w:val="swiss"/>
    <w:pitch w:val="default"/>
  </w:font>
  <w:font w:name="utkal">
    <w:charset w:val="01"/>
    <w:family w:val="swiss"/>
    <w:pitch w:val="default"/>
  </w:font>
</w:fonts>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customStyle="1">
    <w:name w:val="Numérotation de lignes"/>
    <w:rPr/>
  </w:style>
  <w:style w:type="character" w:styleId="Accentuationforte" w:customStyle="1">
    <w:name w:val="Accentuation forte"/>
    <w:qFormat/>
    <w:rPr>
      <w:b/>
      <w:bCs/>
    </w:rPr>
  </w:style>
  <w:style w:type="character" w:styleId="BalloonTextChar" w:customStyle="1">
    <w:name w:val="Balloon Text Char"/>
    <w:basedOn w:val="DefaultParagraphFont"/>
    <w:link w:val="BalloonText"/>
    <w:uiPriority w:val="99"/>
    <w:semiHidden/>
    <w:qFormat/>
    <w:rsid w:val="00e95733"/>
    <w:rPr>
      <w:rFonts w:ascii="Tahoma" w:hAnsi="Tahoma" w:cs="Tahoma"/>
      <w:sz w:val="16"/>
      <w:szCs w:val="16"/>
    </w:rPr>
  </w:style>
  <w:style w:type="character" w:styleId="Annotationreference">
    <w:name w:val="annotation reference"/>
    <w:basedOn w:val="DefaultParagraphFont"/>
    <w:uiPriority w:val="99"/>
    <w:semiHidden/>
    <w:unhideWhenUsed/>
    <w:qFormat/>
    <w:rsid w:val="00b55159"/>
    <w:rPr>
      <w:sz w:val="16"/>
      <w:szCs w:val="16"/>
    </w:rPr>
  </w:style>
  <w:style w:type="character" w:styleId="CommentTextChar" w:customStyle="1">
    <w:name w:val="Comment Text Char"/>
    <w:basedOn w:val="DefaultParagraphFont"/>
    <w:link w:val="Annotationtext"/>
    <w:uiPriority w:val="99"/>
    <w:semiHidden/>
    <w:qFormat/>
    <w:rsid w:val="00b55159"/>
    <w:rPr>
      <w:sz w:val="20"/>
      <w:szCs w:val="20"/>
    </w:rPr>
  </w:style>
  <w:style w:type="character" w:styleId="CommentSubjectChar" w:customStyle="1">
    <w:name w:val="Comment Subject Char"/>
    <w:basedOn w:val="CommentTextChar"/>
    <w:link w:val="Annotationsubject"/>
    <w:uiPriority w:val="99"/>
    <w:semiHidden/>
    <w:qFormat/>
    <w:rsid w:val="00b55159"/>
    <w:rPr>
      <w:b/>
      <w:bCs/>
      <w:sz w:val="20"/>
      <w:szCs w:val="20"/>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Texteprformat" w:customStyle="1">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pPr/>
    <w:rPr/>
  </w:style>
  <w:style w:type="paragraph" w:styleId="BalloonText">
    <w:name w:val="Balloon Text"/>
    <w:basedOn w:val="Normal"/>
    <w:link w:val="BalloonTextChar"/>
    <w:uiPriority w:val="99"/>
    <w:semiHidden/>
    <w:unhideWhenUsed/>
    <w:qFormat/>
    <w:rsid w:val="00e95733"/>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b5515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55159"/>
    <w:pPr/>
    <w:rPr>
      <w:b/>
      <w:bCs/>
    </w:rPr>
  </w:style>
  <w:style w:type="paragraph" w:styleId="Revision">
    <w:name w:val="Revision"/>
    <w:uiPriority w:val="99"/>
    <w:semiHidden/>
    <w:qFormat/>
    <w:rsid w:val="00b551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ibliographie1" w:customStyle="1">
    <w:name w:val="Bibliographie 1"/>
    <w:basedOn w:val="Index"/>
    <w:qFormat/>
    <w:pPr>
      <w:tabs>
        <w:tab w:val="clear" w:pos="720"/>
        <w:tab w:val="right" w:pos="9026" w:leader="dot"/>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23</Pages>
  <Words>9000</Words>
  <Characters>53429</Characters>
  <CharactersWithSpaces>61955</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2023-11-10T10:30:00Z</dcterms:created>
  <dc:creator>Ginot, Samuel</dc:creator>
  <dc:description/>
  <dc:language>fr-FR</dc:language>
  <cp:lastModifiedBy>Samuel Ginot</cp:lastModifiedBy>
  <cp:lastPrinted>2023-10-05T06:43:00Z</cp:lastPrinted>
  <dcterms:modified xsi:type="dcterms:W3CDTF">2023-11-14T22:02:57Z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id="ZYQNGU2N"/&gt;&lt;style id="http://www.zotero.org/styles/apa" locale="en-GB" hasBibliography="1" bibliographyStyleHasBeenSet="1"/&gt;&lt;prefs&gt;&lt;pref name="fieldType" value="Bookmark"/&gt;&lt;/prefs&gt;&lt;/data&gt;</vt:lpwstr>
  </property>
</Properties>
</file>