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business-requirements-document-brd"/>
    <w:p>
      <w:pPr>
        <w:pStyle w:val="Heading1"/>
      </w:pPr>
      <w:r>
        <w:t xml:space="preserve">📊 Business Requirements Document (BRD)</w:t>
      </w:r>
    </w:p>
    <w:bookmarkStart w:id="9" w:name="Xe59a2a058a36e5c431f7f392c6f846ba5b15516"/>
    <w:p>
      <w:pPr>
        <w:pStyle w:val="Heading2"/>
      </w:pPr>
      <w:r>
        <w:t xml:space="preserve">Project Name: DealerConnect Dealer Management System (DMS)</w:t>
      </w:r>
    </w:p>
    <w:bookmarkEnd w:id="9"/>
    <w:bookmarkStart w:id="10" w:name="document-version-1.0-final"/>
    <w:p>
      <w:pPr>
        <w:pStyle w:val="Heading2"/>
      </w:pPr>
      <w:r>
        <w:t xml:space="preserve">Document Version: 1.0 (Final)</w:t>
      </w:r>
    </w:p>
    <w:bookmarkEnd w:id="10"/>
    <w:bookmarkStart w:id="11" w:name="date-april-8-2026"/>
    <w:p>
      <w:pPr>
        <w:pStyle w:val="Heading2"/>
      </w:pPr>
      <w:r>
        <w:t xml:space="preserve">Date: April 8, 2026</w:t>
      </w:r>
    </w:p>
    <w:bookmarkEnd w:id="11"/>
    <w:bookmarkStart w:id="12" w:name="status-approved"/>
    <w:p>
      <w:pPr>
        <w:pStyle w:val="Heading2"/>
      </w:pPr>
      <w:r>
        <w:t xml:space="preserve">Status: Approved</w:t>
      </w:r>
    </w:p>
    <w:p>
      <w:pPr>
        <w:pStyle w:val="FirstParagraph"/>
      </w:pPr>
    </w:p>
    <w:bookmarkEnd w:id="12"/>
    <w:bookmarkStart w:id="13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automotive retail industry is shifting towards hyper-personalized, digital-first customer experiences. The lack of a unified, cloud-native system leads to fragmented customer data, manual reconciliation, and inefficient dealership operations.</w:t>
      </w:r>
    </w:p>
    <w:p>
      <w:pPr>
        <w:pStyle w:val="BodyText"/>
      </w:pPr>
      <w:r>
        <w:rPr>
          <w:b/>
          <w:bCs/>
        </w:rPr>
        <w:t xml:space="preserve">DealerConnect DMS</w:t>
      </w:r>
      <w:r>
        <w:t xml:space="preserve"> </w:t>
      </w:r>
      <w:r>
        <w:t xml:space="preserve">is proposed as a centralized, multi-tenant Software-as-a-Service (SaaS) platform to modernize dealership operations. The system orchestrates the entire customer journey—from initial inquiry and vehicle booking to inventory allocation, invoicing, and after-sales service. By providing real-time data visibility and process automation, DealerConnect will reduce operational overhead by 30% and improve lead conversion rates, ultimately driving bottom-line profitability for franchise owners.</w:t>
      </w:r>
    </w:p>
    <w:p>
      <w:r>
        <w:pict>
          <v:rect style="width:0;height:1.5pt" o:hralign="center" o:hrstd="t" o:hr="t"/>
        </w:pict>
      </w:r>
    </w:p>
    <w:bookmarkEnd w:id="13"/>
    <w:bookmarkStart w:id="16" w:name="project-objectives-business-value"/>
    <w:p>
      <w:pPr>
        <w:pStyle w:val="Heading2"/>
      </w:pPr>
      <w:r>
        <w:t xml:space="preserve">2. Project Objectives &amp; Business Value</w:t>
      </w:r>
    </w:p>
    <w:bookmarkStart w:id="14" w:name="strategic-objectives"/>
    <w:p>
      <w:pPr>
        <w:pStyle w:val="Heading3"/>
      </w:pPr>
      <w:r>
        <w:t xml:space="preserve">2.1 Strategic 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Digital Transformation</w:t>
      </w:r>
      <w:r>
        <w:t xml:space="preserve">: Transition dealerships from legacy, paper-based operations to a centralized, cloud-native ecosystem.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Centralization</w:t>
      </w:r>
      <w:r>
        <w:t xml:space="preserve">: Eliminate communication silos between Sales, Inventory, and Service departments to create a single source of truth.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 Visibility</w:t>
      </w:r>
      <w:r>
        <w:t xml:space="preserve">: Provide corporate</w:t>
      </w:r>
      <w:r>
        <w:t xml:space="preserve"> </w:t>
      </w:r>
      <w:r>
        <w:t xml:space="preserve">“Super Admin”</w:t>
      </w:r>
      <w:r>
        <w:t xml:space="preserve"> </w:t>
      </w:r>
      <w:r>
        <w:t xml:space="preserve">visibility into regional performance, inventory velocity, and revenue across all franchise locations simultaneously.</w:t>
      </w:r>
    </w:p>
    <w:bookmarkEnd w:id="14"/>
    <w:bookmarkStart w:id="15" w:name="expected-business-value-roi"/>
    <w:p>
      <w:pPr>
        <w:pStyle w:val="Heading3"/>
      </w:pPr>
      <w:r>
        <w:t xml:space="preserve">2.2 Expected Business Value (ROI)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Reduced Sales Cycle Time</w:t>
      </w:r>
      <w:r>
        <w:t xml:space="preserve">: Automate lead-to-booking transitions, reducing average processing time by up to 40%.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Optimized Inventory Cost</w:t>
      </w:r>
      <w:r>
        <w:t xml:space="preserve">: Monitor real-time</w:t>
      </w:r>
      <w:r>
        <w:t xml:space="preserve"> </w:t>
      </w:r>
      <w:r>
        <w:t xml:space="preserve">“Days in Stock”</w:t>
      </w:r>
      <w:r>
        <w:t xml:space="preserve"> </w:t>
      </w:r>
      <w:r>
        <w:t xml:space="preserve">metrics to reduce holding costs and optimize procurement strategies.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Enhanced Customer Retention</w:t>
      </w:r>
      <w:r>
        <w:t xml:space="preserve">: Ensure timely service reminders and frictionless workshop scheduling for long-term customer monetization.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project-scope"/>
    <w:p>
      <w:pPr>
        <w:pStyle w:val="Heading2"/>
      </w:pPr>
      <w:r>
        <w:t xml:space="preserve">3. Project Scope</w:t>
      </w:r>
    </w:p>
    <w:bookmarkStart w:id="17" w:name="in-scope-phase-1-mvp"/>
    <w:p>
      <w:pPr>
        <w:pStyle w:val="Heading3"/>
      </w:pPr>
      <w:r>
        <w:t xml:space="preserve">3.1 In-Scope (Phase 1 MVP)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Multi-Tenant Architecture</w:t>
      </w:r>
      <w:r>
        <w:t xml:space="preserve">: Strict data isolation allowing multiple logical dealerships to operate securely on a single deployed instance.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Identity &amp; Access Management (IAM)</w:t>
      </w:r>
      <w:r>
        <w:t xml:space="preserve">: Configurable Role-Based Access Control (RBAC) accommodating multifaceted job roles (e.g., Sales Manager, Service Advisor).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CRM / Lead Management</w:t>
      </w:r>
      <w:r>
        <w:t xml:space="preserve">: Intelligent Kanban tracking for the lead lifecycle.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Inventory Management</w:t>
      </w:r>
      <w:r>
        <w:t xml:space="preserve">: Real-time stock registry, variant allocation, and status tracking (In Stock, Allocated, Sold).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Transaction Processing</w:t>
      </w:r>
      <w:r>
        <w:t xml:space="preserve">: Pricing derivation, formal booking confirmation, and transparent invoice generation.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Service Operations</w:t>
      </w:r>
      <w:r>
        <w:t xml:space="preserve">: Workshop appointment scheduling and workload tracking.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Super-Admin Analytics</w:t>
      </w:r>
      <w:r>
        <w:t xml:space="preserve">: High-level corporate dashboards assessing lead funnel efficiency, stock distribution, and monthly revenue.</w:t>
      </w:r>
    </w:p>
    <w:bookmarkEnd w:id="17"/>
    <w:bookmarkStart w:id="18" w:name="out-of-scope-deferred-to-phase-2"/>
    <w:p>
      <w:pPr>
        <w:pStyle w:val="Heading3"/>
      </w:pPr>
      <w:r>
        <w:t xml:space="preserve">3.2 Out-of-Scope (Deferred to Phase 2)</w:t>
      </w:r>
    </w:p>
    <w:p>
      <w:pPr>
        <w:pStyle w:val="Compact"/>
        <w:numPr>
          <w:ilvl w:val="0"/>
          <w:numId w:val="1004"/>
        </w:numPr>
      </w:pPr>
      <w:r>
        <w:t xml:space="preserve">Advanced CRM AI predictions (e.g., Lead propensity to buy scoring).</w:t>
      </w:r>
    </w:p>
    <w:p>
      <w:pPr>
        <w:pStyle w:val="Compact"/>
        <w:numPr>
          <w:ilvl w:val="0"/>
          <w:numId w:val="1004"/>
        </w:numPr>
      </w:pPr>
      <w:r>
        <w:t xml:space="preserve">Direct API Integration with third-party banking portals for live loan approvals.</w:t>
      </w:r>
    </w:p>
    <w:p>
      <w:pPr>
        <w:pStyle w:val="Compact"/>
        <w:numPr>
          <w:ilvl w:val="0"/>
          <w:numId w:val="1004"/>
        </w:numPr>
      </w:pPr>
      <w:r>
        <w:t xml:space="preserve">Direct HR/Payroll processing integrations.</w:t>
      </w:r>
    </w:p>
    <w:p>
      <w:pPr>
        <w:pStyle w:val="Compact"/>
        <w:numPr>
          <w:ilvl w:val="0"/>
          <w:numId w:val="1004"/>
        </w:numPr>
      </w:pPr>
      <w:r>
        <w:t xml:space="preserve">Customer-facing mobile application.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stakeholder-identification"/>
    <w:p>
      <w:pPr>
        <w:pStyle w:val="Heading2"/>
      </w:pPr>
      <w:r>
        <w:t xml:space="preserve">4. Stakeholder Identification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Corporate Sponsor (OEM/HQ)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Approves budget, monitors global network adoption and ROI.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Dealership Principal /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Assesses profit impact, inventory velocity, and branch performance.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Sales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Oversees the showroom pipeline, allocates vehicles to bookings, handles escalations.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Sales 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Captures leads, manages client follow-ups, and initiates bookings.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workshop load, schedules appointments, oversees spare parts.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 Security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Ensures the application meets data compliance and RBAC requirements.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business-requirements-functional"/>
    <w:p>
      <w:pPr>
        <w:pStyle w:val="Heading2"/>
      </w:pPr>
      <w:r>
        <w:t xml:space="preserve">5. Business Requirements (Functional)</w:t>
      </w:r>
    </w:p>
    <w:bookmarkStart w:id="21" w:name="multi-tenancy-data-privacy"/>
    <w:p>
      <w:pPr>
        <w:pStyle w:val="Heading3"/>
      </w:pPr>
      <w:r>
        <w:t xml:space="preserve">5.1 Multi-Tenancy &amp; Data Privacy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BR_01</w:t>
      </w:r>
      <w:r>
        <w:t xml:space="preserve">: The system must operate as a true SaaS platform, capable of supporting an unlimited number of logical</w:t>
      </w:r>
      <w:r>
        <w:t xml:space="preserve"> </w:t>
      </w:r>
      <w:r>
        <w:t xml:space="preserve">“Dealers.”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BR_02</w:t>
      </w:r>
      <w:r>
        <w:t xml:space="preserve">: Dealerships (Tenants) must be mathematically isolated. Under no circumstances should Dealer A be able to query, view, or modify the operational data (Leads, Inventory, Financials) belonging to Dealer B.</w:t>
      </w:r>
    </w:p>
    <w:bookmarkEnd w:id="21"/>
    <w:bookmarkStart w:id="22" w:name="security-compliance"/>
    <w:p>
      <w:pPr>
        <w:pStyle w:val="Heading3"/>
      </w:pPr>
      <w:r>
        <w:t xml:space="preserve">5.2 Security &amp; Compliance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BR_03</w:t>
      </w:r>
      <w:r>
        <w:t xml:space="preserve">: The platform requires an enterprise-grade authentication protocol to guard against unauthorized access.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BR_04</w:t>
      </w:r>
      <w:r>
        <w:t xml:space="preserve">: Role permissions must be hyper-granular and dynamically configurable without requiring software redeployments (e.g., adding a</w:t>
      </w:r>
      <w:r>
        <w:t xml:space="preserve"> </w:t>
      </w:r>
      <w:r>
        <w:t xml:space="preserve">“Delete Invoice”</w:t>
      </w:r>
      <w:r>
        <w:t xml:space="preserve"> </w:t>
      </w:r>
      <w:r>
        <w:t xml:space="preserve">capability to a role dynamically via an admin panel).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BR_05</w:t>
      </w:r>
      <w:r>
        <w:t xml:space="preserve">: All systems must support automated, un-editable audit trails detailing the author, timestamp, and context of any data mutation to fulfill strict financial compliance mandates.</w:t>
      </w:r>
    </w:p>
    <w:bookmarkEnd w:id="22"/>
    <w:bookmarkStart w:id="23" w:name="operational-workflows-crm-sales"/>
    <w:p>
      <w:pPr>
        <w:pStyle w:val="Heading3"/>
      </w:pPr>
      <w:r>
        <w:t xml:space="preserve">5.3 Operational Workflows (CRM &amp; Sales)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BR_06</w:t>
      </w:r>
      <w:r>
        <w:t xml:space="preserve">: The system must provide a unified view of the Customer, tracking all their interactions (Inquiries, Purchases, Vehicle Service events) across a continuous historical timeline.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BR_07</w:t>
      </w:r>
      <w:r>
        <w:t xml:space="preserve">: The Sales Funnel requires a visual pipeline (Kanban) for executives to easily determine which leads are stagnating and require immediate attention.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BR_08</w:t>
      </w:r>
      <w:r>
        <w:t xml:space="preserve">: Upon confirmation of a financial transaction (Invoice), the allocated vehicle’s status must automatically transition to</w:t>
      </w:r>
      <w:r>
        <w:t xml:space="preserve"> </w:t>
      </w:r>
      <w:r>
        <w:t xml:space="preserve">‘SOLD’</w:t>
      </w:r>
      <w:r>
        <w:t xml:space="preserve"> </w:t>
      </w:r>
      <w:r>
        <w:t xml:space="preserve">and be immediately removed from active inventory projections.</w:t>
      </w:r>
    </w:p>
    <w:bookmarkEnd w:id="23"/>
    <w:bookmarkStart w:id="24" w:name="inventory-logistics"/>
    <w:p>
      <w:pPr>
        <w:pStyle w:val="Heading3"/>
      </w:pPr>
      <w:r>
        <w:t xml:space="preserve">5.4 Inventory &amp; Logistics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BR_09</w:t>
      </w:r>
      <w:r>
        <w:t xml:space="preserve">: Inventory searches must be instantaneous and support complex intersecting criteria (e.g., showing only</w:t>
      </w:r>
      <w:r>
        <w:t xml:space="preserve"> </w:t>
      </w:r>
      <w:r>
        <w:t xml:space="preserve">“Unallocated, Blue, Top-Trim SUVs”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BR_10</w:t>
      </w:r>
      <w:r>
        <w:t xml:space="preserve">: The system logic must architecturally prevent the allocation of a single physical vehicle (VIN) to multiple conflicting customer bookings.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business-requirements-non-functional"/>
    <w:p>
      <w:pPr>
        <w:pStyle w:val="Heading2"/>
      </w:pPr>
      <w:r>
        <w:t xml:space="preserve">6. Business Requirements (Non-Functional)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BR_NF_01 - Availability</w:t>
      </w:r>
      <w:r>
        <w:t xml:space="preserve">: The system must be designed for 99.9% uptime, explicitly aligning with standard automotive retail operating hours (including weekends).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BR_NF_02 - Scalability</w:t>
      </w:r>
      <w:r>
        <w:t xml:space="preserve">: The database architecture must efficiently handle high-volume analytical reads from the corporate Super-Admin dashboard while concurrently processing thousands of operational CRUD operations from showroom floors without noticeable degradation.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BR_NF_03 - Usability</w:t>
      </w:r>
      <w:r>
        <w:t xml:space="preserve">: The User Interface must conform to modern usability heuristics. The training time for a new Sales Executive to comfortably use the platform must not exceed 2 hours.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BR_NF_04 - Auditability</w:t>
      </w:r>
      <w:r>
        <w:t xml:space="preserve">: System database snapshots and audit logs must be designed to be retained for a minimum of 5 years to meet regional regulatory demands.</w:t>
      </w:r>
    </w:p>
    <w:p>
      <w:r>
        <w:pict>
          <v:rect style="width:0;height:1.5pt" o:hralign="center" o:hrstd="t" o:hr="t"/>
        </w:pict>
      </w:r>
    </w:p>
    <w:bookmarkEnd w:id="26"/>
    <w:bookmarkStart w:id="27" w:name="current-state-vs.-future-state-analysis"/>
    <w:p>
      <w:pPr>
        <w:pStyle w:val="Heading2"/>
      </w:pPr>
      <w:r>
        <w:t xml:space="preserve">7. Current State vs. Future State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Process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 (Legacy)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State (DealerConnect)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Lead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in fragmented Excel spreadsheets. High risk of lead leakage and mismanaged follow-ups.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Centralized cloud Kanban board. Real-time metrics and automated sales pipeline velocity reporting.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Inventory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cross-referencing between standalone CRM data and raw, static inventory dumps.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Intelligent cascading filters directly link the CRM module to live Warehouse availability.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Auditing &amp;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Reliance on physical signatures. Accountability is difficult to trace retrospectively.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system-level audit logging. 100% digital trace of user actions mapped to an immutable ledger.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0" w:name="risks-assumptions"/>
    <w:p>
      <w:pPr>
        <w:pStyle w:val="Heading2"/>
      </w:pPr>
      <w:r>
        <w:t xml:space="preserve">8. Risks &amp; Assumptions</w:t>
      </w:r>
    </w:p>
    <w:bookmarkStart w:id="28" w:name="assumptions"/>
    <w:p>
      <w:pPr>
        <w:pStyle w:val="Heading3"/>
      </w:pPr>
      <w:r>
        <w:t xml:space="preserve">8.1 Assumptions</w:t>
      </w:r>
    </w:p>
    <w:p>
      <w:pPr>
        <w:pStyle w:val="Compact"/>
        <w:numPr>
          <w:ilvl w:val="0"/>
          <w:numId w:val="1010"/>
        </w:numPr>
      </w:pPr>
      <w:r>
        <w:t xml:space="preserve">All dealerships possess adequate broadband internet connectivity to utilize a cloud-native platform effectively.</w:t>
      </w:r>
    </w:p>
    <w:p>
      <w:pPr>
        <w:pStyle w:val="Compact"/>
        <w:numPr>
          <w:ilvl w:val="0"/>
          <w:numId w:val="1010"/>
        </w:numPr>
      </w:pPr>
      <w:r>
        <w:t xml:space="preserve">Dealership management will mandate the use of the platform and decommission legacy, standalone spreadsheets to ensure single-source data integrity.</w:t>
      </w:r>
    </w:p>
    <w:bookmarkEnd w:id="28"/>
    <w:bookmarkStart w:id="29" w:name="risks-mitigations"/>
    <w:p>
      <w:pPr>
        <w:pStyle w:val="Heading3"/>
      </w:pPr>
      <w:r>
        <w:t xml:space="preserve">8.2 Risks &amp; Mitigations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Risk 1: User adoption resistance.</w:t>
      </w:r>
      <w:r>
        <w:br/>
      </w:r>
      <w:r>
        <w:rPr>
          <w:i/>
          <w:iCs/>
        </w:rPr>
        <w:t xml:space="preserve">Mitigation</w:t>
      </w:r>
      <w:r>
        <w:t xml:space="preserve">: The UI will leverage intuitive layout principles (Material Design), and power-user keyboard shortcuts will be implemented to speed up workflows faster than existing legacy tools.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Risk 2: Multi-tenant data breaches.</w:t>
      </w:r>
      <w:r>
        <w:br/>
      </w:r>
      <w:r>
        <w:rPr>
          <w:i/>
          <w:iCs/>
        </w:rPr>
        <w:t xml:space="preserve">Mitigation</w:t>
      </w:r>
      <w:r>
        <w:t xml:space="preserve">: Implement a strict JVM</w:t>
      </w:r>
      <w:r>
        <w:t xml:space="preserve"> </w:t>
      </w:r>
      <w:r>
        <w:rPr>
          <w:rStyle w:val="VerbatimChar"/>
        </w:rPr>
        <w:t xml:space="preserve">ThreadLocal</w:t>
      </w:r>
      <w:r>
        <w:t xml:space="preserve"> </w:t>
      </w:r>
      <w:r>
        <w:t xml:space="preserve">context to rigidly intercept and append tenant IDs at the lowest database abstraction layer, structurally removing the burden of manual security checks from developers.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ign-off-approval"/>
    <w:p>
      <w:pPr>
        <w:pStyle w:val="Heading2"/>
      </w:pPr>
      <w:r>
        <w:t xml:space="preserve">9. Sign-Off &amp; Approval</w:t>
      </w:r>
    </w:p>
    <w:p>
      <w:pPr>
        <w:pStyle w:val="FirstParagraph"/>
      </w:pPr>
      <w:r>
        <w:t xml:space="preserve">By signing below, the executive stakeholders formally agree that this Business Requirements Document accurately captures the business strategy and market needs required for a successful DealerConnect Phase 1 rollout.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Approver 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Assessed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Digital/Physical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Executive Sponsor / 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[TBD]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VP of Dealership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[TBD]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Chief Technology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[TBD]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</w:tr>
    </w:tbl>
    <w:p>
      <w:pPr>
        <w:pStyle w:val="BodyText"/>
      </w:pPr>
      <w:r>
        <w:t xml:space="preserve">– END OF DOCUMENT –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2026-04-08T16:51:29Z</dcterms:created>
  <dcterms:modified xsi:type="dcterms:W3CDTF">2026-04-08T16:51:29Z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