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80" w:type="dxa"/>
          <w:right w:w="180" w:type="dxa"/>
        </w:tblCellMar>
        <w:tblLook w:val="0000" w:firstRow="0" w:lastRow="0" w:firstColumn="0" w:lastColumn="0" w:noHBand="0" w:noVBand="0"/>
      </w:tblPr>
      <w:tblGrid>
        <w:gridCol w:w="2187"/>
        <w:gridCol w:w="7099"/>
      </w:tblGrid>
      <w:tr w:rsidR="003F5B8E" w:rsidRPr="003A6B41" w14:paraId="78A2D1B9" w14:textId="77777777" w:rsidTr="00D54EBD">
        <w:trPr>
          <w:trHeight w:val="1520"/>
        </w:trPr>
        <w:tc>
          <w:tcPr>
            <w:tcW w:w="2187" w:type="dxa"/>
          </w:tcPr>
          <w:p w14:paraId="3BA906F6" w14:textId="77777777" w:rsidR="003F5B8E" w:rsidRDefault="003F5B8E" w:rsidP="00D54EBD">
            <w:r>
              <w:rPr>
                <w:noProof/>
              </w:rPr>
              <w:drawing>
                <wp:inline distT="0" distB="0" distL="0" distR="0" wp14:anchorId="1954ACA2" wp14:editId="606F713B">
                  <wp:extent cx="1160145" cy="325755"/>
                  <wp:effectExtent l="0" t="0" r="1905" b="0"/>
                  <wp:docPr id="215410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0145" cy="325755"/>
                          </a:xfrm>
                          <a:prstGeom prst="rect">
                            <a:avLst/>
                          </a:prstGeom>
                          <a:solidFill>
                            <a:srgbClr val="FFFFFF"/>
                          </a:solidFill>
                          <a:ln>
                            <a:noFill/>
                          </a:ln>
                        </pic:spPr>
                      </pic:pic>
                    </a:graphicData>
                  </a:graphic>
                </wp:inline>
              </w:drawing>
            </w:r>
          </w:p>
        </w:tc>
        <w:tc>
          <w:tcPr>
            <w:tcW w:w="7099" w:type="dxa"/>
          </w:tcPr>
          <w:p w14:paraId="5E7CE67A" w14:textId="77777777" w:rsidR="003F5B8E" w:rsidRPr="003A6B41" w:rsidRDefault="003F5B8E" w:rsidP="00D54EBD">
            <w:pPr>
              <w:rPr>
                <w:lang w:val="fr-FR"/>
              </w:rPr>
            </w:pPr>
            <w:r w:rsidRPr="003A6B41">
              <w:rPr>
                <w:lang w:val="fr-FR"/>
              </w:rPr>
              <w:t>Organisation Non Gouvernementale ayant Statut spécial à l’ECOSOC aux Nations Unies, membre observateur à la Commission Africaine des Droits de l’Homme et des Peuples (CADHP) de l’Union Africaine.</w:t>
            </w:r>
          </w:p>
        </w:tc>
      </w:tr>
    </w:tbl>
    <w:p w14:paraId="7898BBBD" w14:textId="77777777" w:rsidR="003F5B8E" w:rsidRPr="003A6B41" w:rsidRDefault="003F5B8E" w:rsidP="003F5B8E">
      <w:pPr>
        <w:spacing w:after="0" w:line="240" w:lineRule="auto"/>
        <w:rPr>
          <w:b/>
          <w:bCs/>
          <w:sz w:val="16"/>
          <w:szCs w:val="16"/>
          <w:lang w:val="fr-FR"/>
        </w:rPr>
      </w:pPr>
    </w:p>
    <w:p w14:paraId="58B1A032" w14:textId="54952426" w:rsidR="007A76C2" w:rsidRPr="003A6B41" w:rsidRDefault="007A76C2" w:rsidP="007A76C2">
      <w:pPr>
        <w:spacing w:after="0" w:line="240" w:lineRule="auto"/>
        <w:jc w:val="center"/>
        <w:rPr>
          <w:b/>
          <w:bCs/>
          <w:sz w:val="32"/>
          <w:szCs w:val="32"/>
        </w:rPr>
      </w:pPr>
      <w:r w:rsidRPr="003A6B41">
        <w:rPr>
          <w:b/>
          <w:bCs/>
          <w:sz w:val="32"/>
          <w:szCs w:val="32"/>
        </w:rPr>
        <w:t xml:space="preserve">Rights Council: 61st Session </w:t>
      </w:r>
    </w:p>
    <w:p w14:paraId="315B9347" w14:textId="77777777" w:rsidR="007A76C2" w:rsidRPr="003A6B41" w:rsidRDefault="007A76C2" w:rsidP="007A76C2">
      <w:pPr>
        <w:spacing w:after="0" w:line="240" w:lineRule="auto"/>
        <w:jc w:val="center"/>
        <w:rPr>
          <w:i/>
          <w:iCs/>
          <w:sz w:val="32"/>
          <w:szCs w:val="32"/>
        </w:rPr>
      </w:pPr>
      <w:r w:rsidRPr="003A6B41">
        <w:rPr>
          <w:i/>
          <w:iCs/>
          <w:sz w:val="32"/>
          <w:szCs w:val="32"/>
        </w:rPr>
        <w:t>Interactive Dialogue with the Independent Expert on Albinism</w:t>
      </w:r>
    </w:p>
    <w:p w14:paraId="77E6BFCA" w14:textId="32DF0C71" w:rsidR="003F5B8E" w:rsidRPr="003A6B41" w:rsidRDefault="003F5B8E" w:rsidP="003F5B8E">
      <w:pPr>
        <w:spacing w:after="0" w:line="240" w:lineRule="auto"/>
        <w:jc w:val="center"/>
        <w:rPr>
          <w:sz w:val="32"/>
          <w:szCs w:val="32"/>
        </w:rPr>
      </w:pPr>
      <w:r w:rsidRPr="003A6B41">
        <w:rPr>
          <w:i/>
          <w:iCs/>
          <w:sz w:val="32"/>
          <w:szCs w:val="32"/>
        </w:rPr>
        <w:t xml:space="preserve">Statement by </w:t>
      </w:r>
      <w:r w:rsidRPr="003A6B41">
        <w:rPr>
          <w:sz w:val="32"/>
          <w:szCs w:val="32"/>
        </w:rPr>
        <w:t>Sarah Kane, Hermansky-Pudlak Syndrome Network - HPS</w:t>
      </w:r>
    </w:p>
    <w:p w14:paraId="507EB949" w14:textId="6A58AF67" w:rsidR="003F5B8E" w:rsidRPr="003A6B41" w:rsidRDefault="003F5B8E" w:rsidP="007A76C2">
      <w:pPr>
        <w:spacing w:after="0" w:line="240" w:lineRule="auto"/>
        <w:jc w:val="center"/>
        <w:rPr>
          <w:i/>
          <w:iCs/>
          <w:sz w:val="32"/>
          <w:szCs w:val="32"/>
        </w:rPr>
      </w:pPr>
    </w:p>
    <w:p w14:paraId="781C12DB" w14:textId="140922F8" w:rsidR="007A76C2" w:rsidRPr="003A6B41" w:rsidRDefault="007A76C2" w:rsidP="003F5B8E">
      <w:pPr>
        <w:spacing w:after="0" w:line="240" w:lineRule="auto"/>
        <w:jc w:val="center"/>
        <w:rPr>
          <w:i/>
          <w:iCs/>
          <w:sz w:val="32"/>
          <w:szCs w:val="32"/>
        </w:rPr>
      </w:pPr>
      <w:r w:rsidRPr="003A6B41">
        <w:rPr>
          <w:i/>
          <w:iCs/>
          <w:sz w:val="32"/>
          <w:szCs w:val="32"/>
        </w:rPr>
        <w:t>5</w:t>
      </w:r>
      <w:r w:rsidRPr="003A6B41">
        <w:rPr>
          <w:i/>
          <w:iCs/>
          <w:sz w:val="32"/>
          <w:szCs w:val="32"/>
          <w:vertAlign w:val="superscript"/>
        </w:rPr>
        <w:t>th</w:t>
      </w:r>
      <w:r w:rsidRPr="003A6B41">
        <w:rPr>
          <w:i/>
          <w:iCs/>
          <w:sz w:val="32"/>
          <w:szCs w:val="32"/>
        </w:rPr>
        <w:t xml:space="preserve"> March 2026, Palais des Nations</w:t>
      </w:r>
    </w:p>
    <w:p w14:paraId="2AFB74C7" w14:textId="135DE439" w:rsidR="007A76C2" w:rsidRPr="003A6B41" w:rsidRDefault="007A76C2" w:rsidP="007A76C2">
      <w:pPr>
        <w:rPr>
          <w:sz w:val="32"/>
          <w:szCs w:val="32"/>
        </w:rPr>
      </w:pPr>
      <w:r w:rsidRPr="003A6B41">
        <w:rPr>
          <w:sz w:val="32"/>
          <w:szCs w:val="32"/>
        </w:rPr>
        <w:t>Mr. President</w:t>
      </w:r>
      <w:r w:rsidR="003F5B8E" w:rsidRPr="003A6B41">
        <w:rPr>
          <w:sz w:val="32"/>
          <w:szCs w:val="32"/>
        </w:rPr>
        <w:t xml:space="preserve">, </w:t>
      </w:r>
    </w:p>
    <w:p w14:paraId="0BBBBA42" w14:textId="08F27307" w:rsidR="007A76C2" w:rsidRPr="003A6B41" w:rsidRDefault="003F5B8E" w:rsidP="009C287B">
      <w:pPr>
        <w:rPr>
          <w:sz w:val="32"/>
          <w:szCs w:val="32"/>
        </w:rPr>
      </w:pPr>
      <w:r w:rsidRPr="003A6B41">
        <w:rPr>
          <w:sz w:val="32"/>
          <w:szCs w:val="32"/>
        </w:rPr>
        <w:t>The International Center for Trade and Development (ICTD)</w:t>
      </w:r>
      <w:r w:rsidR="009C287B" w:rsidRPr="003A6B41">
        <w:rPr>
          <w:sz w:val="32"/>
          <w:szCs w:val="32"/>
        </w:rPr>
        <w:t xml:space="preserve"> </w:t>
      </w:r>
      <w:r w:rsidR="007A76C2" w:rsidRPr="003A6B41">
        <w:rPr>
          <w:sz w:val="32"/>
          <w:szCs w:val="32"/>
        </w:rPr>
        <w:t>expresses its deep appreciation for the work of the Independent Expert on the enjoyment of human rights by persons with albinism. Since the establishment of this mandate, it has brought global visibility to the discrimination, violence, health inequities, and systemic exclusion faced by persons with albinism worldwide. The opportunity to elevate these issues at the international level has meaningfully advanced recognition of the human rights of our community.</w:t>
      </w:r>
    </w:p>
    <w:p w14:paraId="3BE51FCA" w14:textId="76D15A7C" w:rsidR="007A76C2" w:rsidRPr="003A6B41" w:rsidRDefault="007A76C2" w:rsidP="003A6B41">
      <w:pPr>
        <w:rPr>
          <w:sz w:val="32"/>
          <w:szCs w:val="32"/>
        </w:rPr>
      </w:pPr>
      <w:r w:rsidRPr="003A6B41">
        <w:rPr>
          <w:sz w:val="32"/>
          <w:szCs w:val="32"/>
        </w:rPr>
        <w:t xml:space="preserve">We </w:t>
      </w:r>
      <w:r w:rsidR="003A6B41">
        <w:rPr>
          <w:sz w:val="32"/>
          <w:szCs w:val="32"/>
        </w:rPr>
        <w:t xml:space="preserve">at the </w:t>
      </w:r>
      <w:r w:rsidR="003A6B41" w:rsidRPr="003A6B41">
        <w:rPr>
          <w:sz w:val="32"/>
          <w:szCs w:val="32"/>
        </w:rPr>
        <w:t>Hermansky-Pudlak syndrome</w:t>
      </w:r>
      <w:r w:rsidR="003A6B41" w:rsidRPr="003A6B41">
        <w:rPr>
          <w:sz w:val="32"/>
          <w:szCs w:val="32"/>
        </w:rPr>
        <w:t xml:space="preserve"> </w:t>
      </w:r>
      <w:r w:rsidR="003A6B41">
        <w:rPr>
          <w:sz w:val="32"/>
          <w:szCs w:val="32"/>
        </w:rPr>
        <w:t xml:space="preserve">Network </w:t>
      </w:r>
      <w:r w:rsidRPr="003A6B41">
        <w:rPr>
          <w:sz w:val="32"/>
          <w:szCs w:val="32"/>
        </w:rPr>
        <w:t>strongly welcome the present report on the right to employment.</w:t>
      </w:r>
    </w:p>
    <w:p w14:paraId="6001497E" w14:textId="77777777" w:rsidR="007A76C2" w:rsidRPr="003A6B41" w:rsidRDefault="007A76C2" w:rsidP="007A76C2">
      <w:pPr>
        <w:rPr>
          <w:sz w:val="32"/>
          <w:szCs w:val="32"/>
        </w:rPr>
      </w:pPr>
      <w:r w:rsidRPr="003A6B41">
        <w:rPr>
          <w:sz w:val="32"/>
          <w:szCs w:val="32"/>
        </w:rPr>
        <w:t xml:space="preserve">Hermansky-Pudlak syndrome, or HPS, is a rare genetic condition that includes albinism, visual impairment, bleeding disorders, and in some cases life-threatening pulmonary disease. For many in our community, exclusion from employment stems not from lack of ability, but from stigma, inaccessible recruitment processes, and the failure to provide reasonable accommodations — including </w:t>
      </w:r>
      <w:r w:rsidRPr="003A6B41">
        <w:rPr>
          <w:sz w:val="32"/>
          <w:szCs w:val="32"/>
        </w:rPr>
        <w:lastRenderedPageBreak/>
        <w:t>modified lighting, flexible scheduling, remote work options, and protection from prolonged sun exposure.</w:t>
      </w:r>
    </w:p>
    <w:p w14:paraId="2C6D610F" w14:textId="77777777" w:rsidR="007A76C2" w:rsidRPr="003A6B41" w:rsidRDefault="007A76C2" w:rsidP="007A76C2">
      <w:pPr>
        <w:rPr>
          <w:sz w:val="32"/>
          <w:szCs w:val="32"/>
        </w:rPr>
      </w:pPr>
      <w:r w:rsidRPr="003A6B41">
        <w:rPr>
          <w:sz w:val="32"/>
          <w:szCs w:val="32"/>
        </w:rPr>
        <w:t>We particularly endorse the Expert’s recommendations that States explicitly include persons with albinism in disability-inclusive employment policies; ensure access to reasonable accommodations through enforceable mechanisms and funding support; expand employer awareness and anti-stigma training; and strengthen social protection systems.</w:t>
      </w:r>
    </w:p>
    <w:p w14:paraId="7B3140B5" w14:textId="77777777" w:rsidR="007A76C2" w:rsidRPr="003A6B41" w:rsidRDefault="007A76C2" w:rsidP="007A76C2">
      <w:pPr>
        <w:rPr>
          <w:sz w:val="32"/>
          <w:szCs w:val="32"/>
        </w:rPr>
      </w:pPr>
      <w:r w:rsidRPr="003A6B41">
        <w:rPr>
          <w:sz w:val="32"/>
          <w:szCs w:val="32"/>
        </w:rPr>
        <w:t>For individuals with HPS who may require lung transplantation or extended medical leave, employment protections and income security are essential to dignity, health, and survival.</w:t>
      </w:r>
    </w:p>
    <w:p w14:paraId="23F5712E" w14:textId="77777777" w:rsidR="003A6B41" w:rsidRDefault="007A76C2" w:rsidP="007A76C2">
      <w:pPr>
        <w:rPr>
          <w:sz w:val="32"/>
          <w:szCs w:val="32"/>
        </w:rPr>
      </w:pPr>
      <w:r w:rsidRPr="003A6B41">
        <w:rPr>
          <w:sz w:val="32"/>
          <w:szCs w:val="32"/>
        </w:rPr>
        <w:t>We thank the Independent Expert for the 2024 engagement with our community during her US and Puerto Rico country visit and reaffirm our commitment to supporting this mandate and partnering with States to ensure equal access to decent work for all persons with albinism and HPS.</w:t>
      </w:r>
      <w:r w:rsidR="003F5B8E" w:rsidRPr="003A6B41">
        <w:rPr>
          <w:sz w:val="32"/>
          <w:szCs w:val="32"/>
        </w:rPr>
        <w:t xml:space="preserve">  </w:t>
      </w:r>
    </w:p>
    <w:p w14:paraId="1CCA673C" w14:textId="77777777" w:rsidR="003A6B41" w:rsidRDefault="003A6B41" w:rsidP="007A76C2">
      <w:pPr>
        <w:rPr>
          <w:sz w:val="32"/>
          <w:szCs w:val="32"/>
        </w:rPr>
      </w:pPr>
    </w:p>
    <w:p w14:paraId="66191F71" w14:textId="1A03BF30" w:rsidR="007A76C2" w:rsidRPr="003A6B41" w:rsidRDefault="007A76C2" w:rsidP="007A76C2">
      <w:pPr>
        <w:rPr>
          <w:sz w:val="32"/>
          <w:szCs w:val="32"/>
        </w:rPr>
      </w:pPr>
      <w:r w:rsidRPr="003A6B41">
        <w:rPr>
          <w:sz w:val="32"/>
          <w:szCs w:val="32"/>
        </w:rPr>
        <w:t>Thank you</w:t>
      </w:r>
      <w:r w:rsidR="003F5B8E" w:rsidRPr="003A6B41">
        <w:rPr>
          <w:sz w:val="32"/>
          <w:szCs w:val="32"/>
        </w:rPr>
        <w:t xml:space="preserve"> for your kind attention.</w:t>
      </w:r>
    </w:p>
    <w:sectPr w:rsidR="007A76C2" w:rsidRPr="003A6B41" w:rsidSect="007A76C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6ECC" w14:textId="77777777" w:rsidR="00E62CC0" w:rsidRDefault="00E62CC0" w:rsidP="009C287B">
      <w:pPr>
        <w:spacing w:after="0" w:line="240" w:lineRule="auto"/>
      </w:pPr>
      <w:r>
        <w:separator/>
      </w:r>
    </w:p>
  </w:endnote>
  <w:endnote w:type="continuationSeparator" w:id="0">
    <w:p w14:paraId="04B86B55" w14:textId="77777777" w:rsidR="00E62CC0" w:rsidRDefault="00E62CC0" w:rsidP="009C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9472" w14:textId="77777777" w:rsidR="00E62CC0" w:rsidRDefault="00E62CC0" w:rsidP="009C287B">
      <w:pPr>
        <w:spacing w:after="0" w:line="240" w:lineRule="auto"/>
      </w:pPr>
      <w:r>
        <w:separator/>
      </w:r>
    </w:p>
  </w:footnote>
  <w:footnote w:type="continuationSeparator" w:id="0">
    <w:p w14:paraId="0AE4FFEF" w14:textId="77777777" w:rsidR="00E62CC0" w:rsidRDefault="00E62CC0" w:rsidP="009C28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C2"/>
    <w:rsid w:val="001C22B4"/>
    <w:rsid w:val="00396C8A"/>
    <w:rsid w:val="003A6B41"/>
    <w:rsid w:val="003F5B8E"/>
    <w:rsid w:val="004A34BB"/>
    <w:rsid w:val="00630C7E"/>
    <w:rsid w:val="00781ED9"/>
    <w:rsid w:val="007A76C2"/>
    <w:rsid w:val="009C287B"/>
    <w:rsid w:val="00E62CC0"/>
    <w:rsid w:val="00FD06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A2C6"/>
  <w15:chartTrackingRefBased/>
  <w15:docId w15:val="{6CD992A0-0F27-4556-903E-87AB9D86B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6C2"/>
  </w:style>
  <w:style w:type="paragraph" w:styleId="Heading1">
    <w:name w:val="heading 1"/>
    <w:basedOn w:val="Normal"/>
    <w:next w:val="Normal"/>
    <w:link w:val="Heading1Char"/>
    <w:uiPriority w:val="9"/>
    <w:qFormat/>
    <w:rsid w:val="007A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6C2"/>
    <w:rPr>
      <w:rFonts w:eastAsiaTheme="majorEastAsia" w:cstheme="majorBidi"/>
      <w:color w:val="272727" w:themeColor="text1" w:themeTint="D8"/>
    </w:rPr>
  </w:style>
  <w:style w:type="paragraph" w:styleId="Title">
    <w:name w:val="Title"/>
    <w:basedOn w:val="Normal"/>
    <w:next w:val="Normal"/>
    <w:link w:val="TitleChar"/>
    <w:uiPriority w:val="10"/>
    <w:qFormat/>
    <w:rsid w:val="007A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6C2"/>
    <w:pPr>
      <w:spacing w:before="160"/>
      <w:jc w:val="center"/>
    </w:pPr>
    <w:rPr>
      <w:i/>
      <w:iCs/>
      <w:color w:val="404040" w:themeColor="text1" w:themeTint="BF"/>
    </w:rPr>
  </w:style>
  <w:style w:type="character" w:customStyle="1" w:styleId="QuoteChar">
    <w:name w:val="Quote Char"/>
    <w:basedOn w:val="DefaultParagraphFont"/>
    <w:link w:val="Quote"/>
    <w:uiPriority w:val="29"/>
    <w:rsid w:val="007A76C2"/>
    <w:rPr>
      <w:i/>
      <w:iCs/>
      <w:color w:val="404040" w:themeColor="text1" w:themeTint="BF"/>
    </w:rPr>
  </w:style>
  <w:style w:type="paragraph" w:styleId="ListParagraph">
    <w:name w:val="List Paragraph"/>
    <w:basedOn w:val="Normal"/>
    <w:uiPriority w:val="34"/>
    <w:qFormat/>
    <w:rsid w:val="007A76C2"/>
    <w:pPr>
      <w:ind w:left="720"/>
      <w:contextualSpacing/>
    </w:pPr>
  </w:style>
  <w:style w:type="character" w:styleId="IntenseEmphasis">
    <w:name w:val="Intense Emphasis"/>
    <w:basedOn w:val="DefaultParagraphFont"/>
    <w:uiPriority w:val="21"/>
    <w:qFormat/>
    <w:rsid w:val="007A76C2"/>
    <w:rPr>
      <w:i/>
      <w:iCs/>
      <w:color w:val="0F4761" w:themeColor="accent1" w:themeShade="BF"/>
    </w:rPr>
  </w:style>
  <w:style w:type="paragraph" w:styleId="IntenseQuote">
    <w:name w:val="Intense Quote"/>
    <w:basedOn w:val="Normal"/>
    <w:next w:val="Normal"/>
    <w:link w:val="IntenseQuoteChar"/>
    <w:uiPriority w:val="30"/>
    <w:qFormat/>
    <w:rsid w:val="007A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6C2"/>
    <w:rPr>
      <w:i/>
      <w:iCs/>
      <w:color w:val="0F4761" w:themeColor="accent1" w:themeShade="BF"/>
    </w:rPr>
  </w:style>
  <w:style w:type="character" w:styleId="IntenseReference">
    <w:name w:val="Intense Reference"/>
    <w:basedOn w:val="DefaultParagraphFont"/>
    <w:uiPriority w:val="32"/>
    <w:qFormat/>
    <w:rsid w:val="007A76C2"/>
    <w:rPr>
      <w:b/>
      <w:bCs/>
      <w:smallCaps/>
      <w:color w:val="0F4761" w:themeColor="accent1" w:themeShade="BF"/>
      <w:spacing w:val="5"/>
    </w:rPr>
  </w:style>
  <w:style w:type="paragraph" w:styleId="Header">
    <w:name w:val="header"/>
    <w:basedOn w:val="Normal"/>
    <w:link w:val="HeaderChar"/>
    <w:uiPriority w:val="99"/>
    <w:unhideWhenUsed/>
    <w:rsid w:val="009C28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87B"/>
  </w:style>
  <w:style w:type="paragraph" w:styleId="Footer">
    <w:name w:val="footer"/>
    <w:basedOn w:val="Normal"/>
    <w:link w:val="FooterChar"/>
    <w:uiPriority w:val="99"/>
    <w:unhideWhenUsed/>
    <w:rsid w:val="009C28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352</Words>
  <Characters>2010</Characters>
  <Application>Microsoft Office Word</Application>
  <DocSecurity>4</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 Jeng</dc:creator>
  <cp:keywords/>
  <dc:description/>
  <cp:lastModifiedBy>Abou Jeng</cp:lastModifiedBy>
  <cp:revision>2</cp:revision>
  <dcterms:created xsi:type="dcterms:W3CDTF">2026-03-04T20:38:00Z</dcterms:created>
  <dcterms:modified xsi:type="dcterms:W3CDTF">2026-03-04T20:38:00Z</dcterms:modified>
</cp:coreProperties>
</file>