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The Coca-Cola Company</w:t>
      </w:r>
    </w:p>
    <w:p>
      <w:pPr>
        <w:jc w:val="center"/>
      </w:pPr>
      <w:r>
        <w:rPr>
          <w:color w:val="555555"/>
          <w:sz w:val="36"/>
        </w:rPr>
        <w:t>Corporate Research Report</w:t>
      </w:r>
    </w:p>
    <w:p>
      <w:pPr>
        <w:jc w:val="center"/>
      </w:pPr>
      <w:r>
        <w:rPr>
          <w:i/>
          <w:sz w:val="26"/>
        </w:rPr>
        <w:t>Company Overview, Products, Financial Highlights, and Global Strategy</w:t>
      </w:r>
    </w:p>
    <w:p/>
    <w:p>
      <w:pPr>
        <w:jc w:val="center"/>
      </w:pPr>
      <w:r>
        <w:rPr>
          <w:sz w:val="24"/>
        </w:rPr>
        <w:t>June 7, 2026</w:t>
      </w:r>
    </w:p>
    <w:p>
      <w:r>
        <w:br w:type="page"/>
      </w:r>
    </w:p>
    <w:p>
      <w:pPr>
        <w:pStyle w:val="Heading1"/>
      </w:pPr>
      <w:r>
        <w:t>1. Company Overview</w:t>
      </w:r>
    </w:p>
    <w:p>
      <w:r>
        <w:rPr>
          <w:b/>
        </w:rPr>
        <w:t xml:space="preserve">Founded: </w:t>
      </w:r>
      <w:r>
        <w:t>Formula developed in May 1886 by pharmacist John Stith Pemberton; The Coca-Cola Company was incorporated in 1892.</w:t>
      </w:r>
    </w:p>
    <w:p>
      <w:r>
        <w:rPr>
          <w:b/>
        </w:rPr>
        <w:t xml:space="preserve">Headquarters: </w:t>
      </w:r>
      <w:r>
        <w:t>Atlanta, Georgia, USA</w:t>
      </w:r>
    </w:p>
    <w:p>
      <w:r>
        <w:rPr>
          <w:b/>
        </w:rPr>
        <w:t xml:space="preserve">Industry: </w:t>
      </w:r>
      <w:r>
        <w:t>Food, Beverages &amp; Tobacco / Nonalcoholic Beverage Manufacturing</w:t>
      </w:r>
    </w:p>
    <w:p>
      <w:r>
        <w:rPr>
          <w:b/>
        </w:rPr>
        <w:t xml:space="preserve">Stock: </w:t>
      </w:r>
      <w:r>
        <w:t>Listed on the New York Stock Exchange under the ticker "KO"; a component of the Dow Jones Industrial Average (DJIA), S&amp;P 500, and S&amp;P 100 indices.</w:t>
      </w:r>
    </w:p>
    <w:p>
      <w:r>
        <w:rPr>
          <w:b/>
        </w:rPr>
        <w:t xml:space="preserve">Leadership: </w:t>
      </w:r>
      <w:r>
        <w:t>James Quincey currently serves as CEO and is scheduled to transition to the role of Executive Chairman effective March 31, 2026. Henrique Braun, currently Executive Vice President and Chief Operating Officer, will become CEO at that time.</w:t>
      </w:r>
    </w:p>
    <w:p>
      <w:r>
        <w:rPr>
          <w:b/>
        </w:rPr>
        <w:t xml:space="preserve">Scale: </w:t>
      </w:r>
      <w:r>
        <w:t>More than 500 brands sold in over 200 countries and territories; one of the world's largest beverage manufacturers and distributors.</w:t>
      </w:r>
    </w:p>
    <w:p>
      <w:r>
        <w:rPr>
          <w:b/>
        </w:rPr>
        <w:t xml:space="preserve">Operating Segments: </w:t>
      </w:r>
      <w:r>
        <w:t>Europe, Middle East &amp; Africa; Latin America; North America; Asia Pacific; Bottling Investments; Global Ventures.</w:t>
      </w:r>
    </w:p>
    <w:p>
      <w:pPr>
        <w:pStyle w:val="Heading1"/>
      </w:pPr>
      <w:r>
        <w:t>2. Core Products and Brand Portfolio</w:t>
      </w:r>
    </w:p>
    <w:p>
      <w:r>
        <w:t>The Coca-Cola Company's portfolio spans several beverage categories. Representative brands within each category are summarized below.</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Category</w:t>
            </w:r>
          </w:p>
        </w:tc>
        <w:tc>
          <w:tcPr>
            <w:tcW w:type="dxa" w:w="6236"/>
          </w:tcPr>
          <w:p>
            <w:r>
              <w:rPr>
                <w:b/>
              </w:rPr>
              <w:t>Representative Brands</w:t>
            </w:r>
          </w:p>
        </w:tc>
      </w:tr>
      <w:tr>
        <w:tc>
          <w:tcPr>
            <w:tcW w:type="dxa" w:w="2835"/>
          </w:tcPr>
          <w:p>
            <w:r>
              <w:t>Sparkling Soft Drinks</w:t>
            </w:r>
          </w:p>
        </w:tc>
        <w:tc>
          <w:tcPr>
            <w:tcW w:type="dxa" w:w="6236"/>
          </w:tcPr>
          <w:p>
            <w:r>
              <w:t>Coca-Cola, Sprite, Fanta</w:t>
            </w:r>
          </w:p>
        </w:tc>
      </w:tr>
      <w:tr>
        <w:tc>
          <w:tcPr>
            <w:tcW w:type="dxa" w:w="2835"/>
          </w:tcPr>
          <w:p>
            <w:r>
              <w:t>Water, Sports, Coffee &amp; Tea</w:t>
            </w:r>
          </w:p>
        </w:tc>
        <w:tc>
          <w:tcPr>
            <w:tcW w:type="dxa" w:w="6236"/>
          </w:tcPr>
          <w:p>
            <w:r>
              <w:t>Dasani, smartwater, vitaminwater, Topo Chico, BODYARMOR, Powerade, Costa, Georgia, Fuze Tea, Gold Peak, Ayataka</w:t>
            </w:r>
          </w:p>
        </w:tc>
      </w:tr>
      <w:tr>
        <w:tc>
          <w:tcPr>
            <w:tcW w:type="dxa" w:w="2835"/>
          </w:tcPr>
          <w:p>
            <w:r>
              <w:t>Juice, Dairy &amp; Plant-Based Beverages</w:t>
            </w:r>
          </w:p>
        </w:tc>
        <w:tc>
          <w:tcPr>
            <w:tcW w:type="dxa" w:w="6236"/>
          </w:tcPr>
          <w:p>
            <w:r>
              <w:t>Minute Maid, Simply, innocent, Del Valle, fairlife, AdeS</w:t>
            </w:r>
          </w:p>
        </w:tc>
      </w:tr>
    </w:tbl>
    <w:p/>
    <w:p>
      <w:r>
        <w:rPr>
          <w:b/>
        </w:rPr>
        <w:t xml:space="preserve">Note: </w:t>
      </w:r>
      <w:r>
        <w:t>BODYARMOR expanded into Europe (Spain) in 2025 as part of an international expansion strategy that builds on its established position in the U.S. sports drink category. The fairlife portfolio continues to expand within the U.S. dairy segment.</w:t>
      </w:r>
    </w:p>
    <w:p>
      <w:pPr>
        <w:pStyle w:val="Heading1"/>
      </w:pPr>
      <w:r>
        <w:t>3. Financial Highlights — Full Year 2025</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Metric</w:t>
            </w:r>
          </w:p>
        </w:tc>
        <w:tc>
          <w:tcPr>
            <w:tcW w:type="dxa" w:w="6236"/>
          </w:tcPr>
          <w:p>
            <w:r>
              <w:rPr>
                <w:b/>
              </w:rPr>
              <w:t>Value / Result</w:t>
            </w:r>
          </w:p>
        </w:tc>
      </w:tr>
      <w:tr>
        <w:tc>
          <w:tcPr>
            <w:tcW w:type="dxa" w:w="2835"/>
          </w:tcPr>
          <w:p>
            <w:r>
              <w:t>Net Revenues</w:t>
            </w:r>
          </w:p>
        </w:tc>
        <w:tc>
          <w:tcPr>
            <w:tcW w:type="dxa" w:w="6236"/>
          </w:tcPr>
          <w:p>
            <w:r>
              <w:t>$47.9 billion (up 2% year-over-year; organic revenue growth of 5%)</w:t>
            </w:r>
          </w:p>
        </w:tc>
      </w:tr>
      <w:tr>
        <w:tc>
          <w:tcPr>
            <w:tcW w:type="dxa" w:w="2835"/>
          </w:tcPr>
          <w:p>
            <w:r>
              <w:t>Full-Year EPS</w:t>
            </w:r>
          </w:p>
        </w:tc>
        <w:tc>
          <w:tcPr>
            <w:tcW w:type="dxa" w:w="6236"/>
          </w:tcPr>
          <w:p>
            <w:r>
              <w:t>$3.04 (up 23%, driven by global value share gains in nonalcoholic ready-to-drink beverages and emerging-market performance in Brazil and Central Asia)</w:t>
            </w:r>
          </w:p>
        </w:tc>
      </w:tr>
      <w:tr>
        <w:tc>
          <w:tcPr>
            <w:tcW w:type="dxa" w:w="2835"/>
          </w:tcPr>
          <w:p>
            <w:r>
              <w:t>Operating Income</w:t>
            </w:r>
          </w:p>
        </w:tc>
        <w:tc>
          <w:tcPr>
            <w:tcW w:type="dxa" w:w="6236"/>
          </w:tcPr>
          <w:p>
            <w:r>
              <w:t>Full-year operating income grew 38%; comparable currency-neutral operating income grew 13% on cost management and pricing actions. Q4 operating income declined 32% due to a $960 million non-cash impairment charge related to the BODYARMOR trademark.</w:t>
            </w:r>
          </w:p>
        </w:tc>
      </w:tr>
      <w:tr>
        <w:tc>
          <w:tcPr>
            <w:tcW w:type="dxa" w:w="2835"/>
          </w:tcPr>
          <w:p>
            <w:r>
              <w:t>Cash Flow from Operations</w:t>
            </w:r>
          </w:p>
        </w:tc>
        <w:tc>
          <w:tcPr>
            <w:tcW w:type="dxa" w:w="6236"/>
          </w:tcPr>
          <w:p>
            <w:r>
              <w:t>$7.4 billion (full year)</w:t>
            </w:r>
          </w:p>
        </w:tc>
      </w:tr>
      <w:tr>
        <w:tc>
          <w:tcPr>
            <w:tcW w:type="dxa" w:w="2835"/>
          </w:tcPr>
          <w:p>
            <w:r>
              <w:t>Free Cash Flow (Non-GAAP)</w:t>
            </w:r>
          </w:p>
        </w:tc>
        <w:tc>
          <w:tcPr>
            <w:tcW w:type="dxa" w:w="6236"/>
          </w:tcPr>
          <w:p>
            <w:r>
              <w:t>$5.3 billion (full year)</w:t>
            </w:r>
          </w:p>
        </w:tc>
      </w:tr>
      <w:tr>
        <w:tc>
          <w:tcPr>
            <w:tcW w:type="dxa" w:w="2835"/>
          </w:tcPr>
          <w:p>
            <w:r>
              <w:t>2026 Outlook</w:t>
            </w:r>
          </w:p>
        </w:tc>
        <w:tc>
          <w:tcPr>
            <w:tcW w:type="dxa" w:w="6236"/>
          </w:tcPr>
          <w:p>
            <w:r>
              <w:t>Company guidance projects organic revenue growth of 4%–5% and comparable EPS growth of 7%–8%</w:t>
            </w:r>
          </w:p>
        </w:tc>
      </w:tr>
    </w:tbl>
    <w:p/>
    <w:p>
      <w:r>
        <w:rPr>
          <w:i/>
        </w:rPr>
        <w:t>These figures are drawn from the company's fourth-quarter and full-year 2025 earnings release (reported in February 2026) and are subject to revision in subsequent SEC filings.</w:t>
      </w:r>
    </w:p>
    <w:p>
      <w:pPr>
        <w:pStyle w:val="Heading1"/>
      </w:pPr>
      <w:r>
        <w:t>4. Global Strategy and Outlook</w:t>
      </w:r>
    </w:p>
    <w:p>
      <w:r>
        <w:rPr>
          <w:b/>
        </w:rPr>
        <w:t xml:space="preserve">Digital Transformation: </w:t>
      </w:r>
      <w:r>
        <w:t>The company created a new Chief Digital Officer role to unify digital, data, and operational excellence across the organization, aiming to improve speed and efficiency from consumer engagement to internal operations.</w:t>
      </w:r>
    </w:p>
    <w:p>
      <w:r>
        <w:rPr>
          <w:b/>
        </w:rPr>
        <w:t xml:space="preserve">Innovation Infrastructure: </w:t>
      </w:r>
      <w:r>
        <w:t>Plans call for establishing innovation hubs and commercial centers of excellence across all operating segments and key markets in 2026.</w:t>
      </w:r>
    </w:p>
    <w:p>
      <w:r>
        <w:rPr>
          <w:b/>
        </w:rPr>
        <w:t xml:space="preserve">Sustainability ("World Without Waste"): </w:t>
      </w:r>
      <w:r>
        <w:t>A long-running packaging and recycling initiative. The company has revised its voluntary environmental packaging-collection goal timelines, extending target dates from 2025/2030 to 2035.</w:t>
      </w:r>
    </w:p>
    <w:p>
      <w:r>
        <w:rPr>
          <w:b/>
        </w:rPr>
        <w:t xml:space="preserve">Leadership Transition: </w:t>
      </w:r>
      <w:r>
        <w:t>Incoming CEO Henrique Braun, who succeeds James Quincey (moving to Executive Chairman), has signaled a focus on accelerating innovation and sustaining the company's growth momentum.</w:t>
      </w:r>
    </w:p>
    <w:p>
      <w:r>
        <w:rPr>
          <w:b/>
        </w:rPr>
        <w:t xml:space="preserve">Growth Trajectory: </w:t>
      </w:r>
      <w:r>
        <w:t>Management points to 5% organic revenue growth in 2025 as evidence of a "durable strategy" with a "long runway" for continued expansion.</w:t>
      </w:r>
    </w:p>
    <w:p>
      <w:pPr>
        <w:pStyle w:val="Heading1"/>
      </w:pPr>
      <w:r>
        <w:t>5. Sources / References</w:t>
      </w:r>
    </w:p>
    <w:p>
      <w:pPr>
        <w:pStyle w:val="ListBullet"/>
      </w:pPr>
      <w:r>
        <w:t>https://investors.coca-colacompany.com/news-events/press-releases/detail/1151/coca-cola-reports-fourth-quarter-and-full-year-2025-results</w:t>
      </w:r>
    </w:p>
    <w:p>
      <w:pPr>
        <w:pStyle w:val="ListBullet"/>
      </w:pPr>
      <w:r>
        <w:t>https://www.foodnavigator.com/Article/2026/01/16/cocacolas-pivotal-year-portfolio-shifts-and-a-new-ceo/</w:t>
      </w:r>
    </w:p>
    <w:p>
      <w:pPr>
        <w:pStyle w:val="ListBullet"/>
      </w:pPr>
      <w:r>
        <w:t>https://www.beveragedaily.com/Article/2026/02/16/cocacola-maps-bold-growth-strategy-for-2026/</w:t>
      </w:r>
    </w:p>
    <w:p>
      <w:pPr>
        <w:pStyle w:val="ListBullet"/>
      </w:pPr>
      <w:r>
        <w:t>https://www.packworld.com/sustainable-packaging/recycling/article/22928147/coca-cola-extends-sustainable-packaging-deadlines-to-2035</w:t>
      </w:r>
    </w:p>
    <w:p>
      <w:pPr>
        <w:pStyle w:val="ListBullet"/>
      </w:pPr>
      <w:r>
        <w:t>https://en.wikipedia.org/wiki/The_Coca-Cola_Company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