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60"/>
      </w:pPr>
      <w:r>
        <w:rPr>
          <w:rFonts w:ascii="Hiragino Sans GB" w:hAnsi="Hiragino Sans GB" w:eastAsia="Hiragino Sans GB"/>
          <w:b/>
          <w:color w:val="1F4E78"/>
          <w:sz w:val="56"/>
        </w:rPr>
        <w:t>基于 DeepSeek Harness 的</w:t>
        <w:br/>
        <w:t>运维智能体平台建设方案</w:t>
      </w:r>
    </w:p>
    <w:p>
      <w:pPr>
        <w:spacing w:after="640"/>
      </w:pPr>
      <w:r>
        <w:rPr>
          <w:color w:val="5B6573"/>
          <w:sz w:val="30"/>
        </w:rPr>
        <w:t>阶段成果、总体架构与生产落地规划</w:t>
      </w:r>
    </w:p>
    <w:p>
      <w:pPr>
        <w:shd w:fill="EEF5FA"/>
        <w:spacing w:before="80" w:after="160" w:line="259" w:lineRule="auto"/>
        <w:ind w:left="144" w:right="144"/>
      </w:pPr>
      <w:r>
        <w:rPr>
          <w:b/>
          <w:color w:val="1F4E78"/>
          <w:sz w:val="22"/>
        </w:rPr>
        <w:t>方案定位</w:t>
        <w:br/>
      </w:r>
      <w:r>
        <w:rPr>
          <w:color w:val="263238"/>
          <w:sz w:val="20"/>
        </w:rPr>
        <w:t>以 DeepSeek Harness 作为可替换的 Agent 运行时，以 Skill 固化运维分析方法，以 MCP 对接生产能力，通过 Portal、身份、控制 API 和共享数据平台形成可治理、可审计、可扩展的企业级运维智能体平台。</w:t>
      </w:r>
    </w:p>
    <w:p/>
    <w:p/>
    <w:p/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20"/>
              </w:rPr>
              <w:t>建设主题</w:t>
            </w:r>
          </w:p>
        </w:tc>
        <w:tc>
          <w:tcPr>
            <w:tcW w:type="dxa" w:w="72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20"/>
              </w:rPr>
              <w:t>BankOps 运维智能体平台</w:t>
            </w:r>
          </w:p>
        </w:tc>
      </w:tr>
      <w:tr>
        <w:tc>
          <w:tcPr>
            <w:tcW w:type="dxa" w:w="21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20"/>
              </w:rPr>
              <w:t>当前阶段</w:t>
            </w:r>
          </w:p>
        </w:tc>
        <w:tc>
          <w:tcPr>
            <w:tcW w:type="dxa" w:w="72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20"/>
              </w:rPr>
              <w:t>原型验证完成，进入平台化与生产试点设计</w:t>
            </w:r>
          </w:p>
        </w:tc>
      </w:tr>
      <w:tr>
        <w:tc>
          <w:tcPr>
            <w:tcW w:type="dxa" w:w="21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20"/>
              </w:rPr>
              <w:t>汇报范围</w:t>
            </w:r>
          </w:p>
        </w:tc>
        <w:tc>
          <w:tcPr>
            <w:tcW w:type="dxa" w:w="72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20"/>
              </w:rPr>
              <w:t>总体架构、阶段成果、验证基线、差距分析、后续计划</w:t>
            </w:r>
          </w:p>
        </w:tc>
      </w:tr>
      <w:tr>
        <w:tc>
          <w:tcPr>
            <w:tcW w:type="dxa" w:w="21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20"/>
              </w:rPr>
              <w:t>编制日期</w:t>
            </w:r>
          </w:p>
        </w:tc>
        <w:tc>
          <w:tcPr>
            <w:tcW w:type="dxa" w:w="72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20"/>
              </w:rPr>
              <w:t>2026 年 8 月 18 日</w:t>
            </w:r>
          </w:p>
        </w:tc>
      </w:tr>
    </w:tbl>
    <w:p>
      <w:pPr>
        <w:spacing w:after="0"/>
      </w:pPr>
    </w:p>
    <w:p/>
    <w:p>
      <w:pPr>
        <w:jc w:val="right"/>
      </w:pPr>
      <w:r>
        <w:rPr>
          <w:color w:val="5B6573"/>
        </w:rPr>
        <w:t>信息科技部 · 内部汇报稿</w:t>
      </w:r>
      <w:r>
        <w:br w:type="page"/>
      </w:r>
    </w:p>
    <w:p>
      <w:pPr>
        <w:pStyle w:val="Heading1"/>
      </w:pPr>
      <w:r>
        <w:t>核心结论</w:t>
      </w:r>
    </w:p>
    <w:p>
      <w:pPr>
        <w:shd w:fill="EDF7ED"/>
        <w:spacing w:before="80" w:after="160" w:line="259" w:lineRule="auto"/>
        <w:ind w:left="144" w:right="144"/>
      </w:pPr>
      <w:r>
        <w:rPr>
          <w:b/>
          <w:color w:val="2E7D32"/>
          <w:sz w:val="22"/>
        </w:rPr>
        <w:t>一句话结论</w:t>
        <w:br/>
      </w:r>
      <w:r>
        <w:rPr>
          <w:color w:val="263238"/>
          <w:sz w:val="20"/>
        </w:rPr>
        <w:t>当前工作已经证明“DSH + Skill + MCP”可以跑通面向银行运维的证据化分析闭环；下一步不宜继续把能力堆入单个 DSH 容器，而应建设认证网关、每用户 Runtime、MCP Gateway 和生产数据适配层，将原型升级为可供运维人员日常使用的平台。</w:t>
      </w:r>
    </w:p>
    <w:p>
      <w:pPr>
        <w:pStyle w:val="BodyText"/>
      </w:pPr>
      <w:r>
        <w:t>本阶段不是简单搭建一个聊天页面，而是完成了运维智能体的关键技术分层：DSH 负责 Agent 循环与工具编排，Skill 负责业务方法，MCP 负责受控执行能力，Agent Control API 负责稳定业务接口，Portal 与身份服务负责用户入口和权限，PostgreSQL、Elasticsearch、MinIO 形成共享数据底座。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700"/>
        <w:gridCol w:w="4200"/>
        <w:gridCol w:w="34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现状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管理含义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技术路线可行</w:t>
            </w:r>
          </w:p>
        </w:tc>
        <w:tc>
          <w:tcPr>
            <w:tcW w:type="dxa" w:w="42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两类变更分析、应用系统巡检、知识检索和上下文记忆均已形成可运行闭环</w:t>
            </w:r>
          </w:p>
        </w:tc>
        <w:tc>
          <w:tcPr>
            <w:tcW w:type="dxa" w:w="34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可进入小范围生产试点，不再停留在概念论证</w:t>
            </w:r>
          </w:p>
        </w:tc>
      </w:tr>
      <w:tr>
        <w:tc>
          <w:tcPr>
            <w:tcW w:type="dxa" w:w="17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平台边界基本清晰</w:t>
            </w:r>
          </w:p>
        </w:tc>
        <w:tc>
          <w:tcPr>
            <w:tcW w:type="dxa" w:w="42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前端、控制 API、DSH Runtime、MCP、数据平台已按部署职责拆分</w:t>
            </w:r>
          </w:p>
        </w:tc>
        <w:tc>
          <w:tcPr>
            <w:tcW w:type="dxa" w:w="34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后续可独立升级 DSH，避免深度修改上游代码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生产化仍有关键缺口</w:t>
            </w:r>
          </w:p>
        </w:tc>
        <w:tc>
          <w:tcPr>
            <w:tcW w:type="dxa" w:w="42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当前 DSH Web 是共享单实例，MCP 尚无统一安全网关，领域数据主要为模拟数据</w:t>
            </w:r>
          </w:p>
        </w:tc>
        <w:tc>
          <w:tcPr>
            <w:tcW w:type="dxa" w:w="34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不得直接开放 3080；先补齐隔离、鉴权、审计和真实数据适配</w:t>
            </w:r>
          </w:p>
        </w:tc>
      </w:tr>
      <w:tr>
        <w:tc>
          <w:tcPr>
            <w:tcW w:type="dxa" w:w="17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适合双入口落地</w:t>
            </w:r>
          </w:p>
        </w:tc>
        <w:tc>
          <w:tcPr>
            <w:tcW w:type="dxa" w:w="42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既支持运维人员直接使用 AI 工作台，也支持 ITSM/监控平台调用固定业务 API</w:t>
            </w:r>
          </w:p>
        </w:tc>
        <w:tc>
          <w:tcPr>
            <w:tcW w:type="dxa" w:w="34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兼顾探索式分析和流程化、可审批的生产作业</w:t>
            </w:r>
          </w:p>
        </w:tc>
      </w:tr>
    </w:tbl>
    <w:p>
      <w:pPr>
        <w:spacing w:after="0"/>
      </w:pPr>
    </w:p>
    <w:p>
      <w:pPr>
        <w:pStyle w:val="Heading2"/>
      </w:pPr>
      <w:r>
        <w:t>本阶段形成的主要成果</w:t>
      </w:r>
    </w:p>
    <w:p>
      <w:pPr>
        <w:pStyle w:val="ListBullet"/>
      </w:pPr>
      <w:r>
        <w:t>完成 DSH 0.1.0-rc.6 的 Docker 化运行、版本锁定与 web/headless/dev 三类 Profile 设计。</w:t>
      </w:r>
    </w:p>
    <w:p>
      <w:pPr>
        <w:pStyle w:val="ListBullet"/>
      </w:pPr>
      <w:r>
        <w:t>完成变更影响分析与应用系统巡检两个核心 Skill，并将工具选择改为基于 MCP 描述和输入 Schema 的自适应调用。</w:t>
      </w:r>
    </w:p>
    <w:p>
      <w:pPr>
        <w:pStyle w:val="ListBullet"/>
      </w:pPr>
      <w:r>
        <w:t>完成 ChangeInfo、CMDB、AlertInfo、PerfInfo 四个领域 MCP 及真实化 ES 模拟数据。</w:t>
      </w:r>
    </w:p>
    <w:p>
      <w:pPr>
        <w:pStyle w:val="ListBullet"/>
      </w:pPr>
      <w:r>
        <w:t>完成 File Service、Knowledge MCP/REST、Memory MCP 和异步知识索引能力。</w:t>
      </w:r>
    </w:p>
    <w:p>
      <w:pPr>
        <w:pStyle w:val="ListBullet"/>
      </w:pPr>
      <w:r>
        <w:t>完成 Portal、Identity Service、Agent Control API、Skill Studio 和本地用户/团队/角色管理。</w:t>
      </w:r>
    </w:p>
    <w:p>
      <w:r>
        <w:br w:type="page"/>
      </w:r>
    </w:p>
    <w:p>
      <w:pPr>
        <w:pStyle w:val="Heading1"/>
      </w:pPr>
      <w:r>
        <w:t>一、建设背景与目标</w:t>
      </w:r>
    </w:p>
    <w:p>
      <w:pPr>
        <w:pStyle w:val="Heading2"/>
      </w:pPr>
      <w:r>
        <w:t>1.1 背景判断</w:t>
      </w:r>
    </w:p>
    <w:p>
      <w:pPr>
        <w:pStyle w:val="BodyText"/>
      </w:pPr>
      <w:r>
        <w:t>现有类似 Coze 的大模型工作流能够把提示词、模型和工具串联起来，但银行运维场景还要求动态调查、证据追踪、权限隔离、审计留痕、稳定接口和安全执行。单纯依赖提示词很难稳定解决“应查哪些对象、何时停止、结论依据是什么、哪些数据不可见”等问题。</w:t>
      </w:r>
    </w:p>
    <w:p>
      <w:pPr>
        <w:pStyle w:val="BodyText"/>
      </w:pPr>
      <w:r>
        <w:t>DeepSeek Harness 提供了 Agent 运行循环和插件化扩展基础。其价值不在于替代 ITSM 或现有工作流平台，而在于承载需要模型自主规划、按证据选择工具、处理不确定信息的分析任务。ITSM 继续负责流程、审批、状态和 SLA；DSH 负责推理；MCP 将真实系统能力转化为可治理工具。</w:t>
      </w:r>
    </w:p>
    <w:p>
      <w:pPr>
        <w:pStyle w:val="Heading2"/>
      </w:pPr>
      <w:r>
        <w:t>1.2 总体目标</w:t>
      </w:r>
    </w:p>
    <w:p>
      <w:pPr>
        <w:pStyle w:val="ListNumber"/>
        <w:numPr>
          <w:ilvl w:val="0"/>
          <w:numId w:val="10"/>
        </w:numPr>
      </w:pPr>
      <w:r>
        <w:t>建设统一的运维智能体技术底座，为变更、巡检、告警、故障、知识问答等场景提供可复用能力。</w:t>
      </w:r>
    </w:p>
    <w:p>
      <w:pPr>
        <w:pStyle w:val="ListNumber"/>
        <w:numPr>
          <w:ilvl w:val="0"/>
          <w:numId w:val="10"/>
        </w:numPr>
      </w:pPr>
      <w:r>
        <w:t>形成“交互式 AI 工作台 + 固定业务 API”双入口，既服务运维人员，也嵌入 ITSM、监控和运维门户。</w:t>
      </w:r>
    </w:p>
    <w:p>
      <w:pPr>
        <w:pStyle w:val="ListNumber"/>
        <w:numPr>
          <w:ilvl w:val="0"/>
          <w:numId w:val="10"/>
        </w:numPr>
      </w:pPr>
      <w:r>
        <w:t>以 Skill 沉淀业务方法，以 MCP 封装生产系统能力，以证据链和审计实现结果可追溯。</w:t>
      </w:r>
    </w:p>
    <w:p>
      <w:pPr>
        <w:pStyle w:val="ListNumber"/>
        <w:numPr>
          <w:ilvl w:val="0"/>
          <w:numId w:val="10"/>
        </w:numPr>
      </w:pPr>
      <w:r>
        <w:t>保持 DSH 与业务平台解耦，支持上游版本升级、运行时替换和不同模型的私有化部署。</w:t>
      </w:r>
    </w:p>
    <w:p>
      <w:pPr>
        <w:pStyle w:val="Heading2"/>
      </w:pPr>
      <w:r>
        <w:t>1.3 建设原则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落地要求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分层解耦</w:t>
            </w:r>
          </w:p>
        </w:tc>
        <w:tc>
          <w:tcPr>
            <w:tcW w:type="dxa" w:w="74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Portal、控制平面、Agent Runtime、MCP、数据平台分别部署；不修改 DSH 上游源码。</w:t>
            </w:r>
          </w:p>
        </w:tc>
      </w:tr>
      <w:tr>
        <w:tc>
          <w:tcPr>
            <w:tcW w:type="dxa" w:w="1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证据优先</w:t>
            </w:r>
          </w:p>
        </w:tc>
        <w:tc>
          <w:tcPr>
            <w:tcW w:type="dxa" w:w="74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事实来自权威工具；区分已观测事实、推断和数据缺口；重要结论必须可引用。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最小权限</w:t>
            </w:r>
          </w:p>
        </w:tc>
        <w:tc>
          <w:tcPr>
            <w:tcW w:type="dxa" w:w="74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模型只能看到任务所需工具；身份由网关可信传递，不能依赖提示词做授权。</w:t>
            </w:r>
          </w:p>
        </w:tc>
      </w:tr>
      <w:tr>
        <w:tc>
          <w:tcPr>
            <w:tcW w:type="dxa" w:w="1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人机协同</w:t>
            </w:r>
          </w:p>
        </w:tc>
        <w:tc>
          <w:tcPr>
            <w:tcW w:type="dxa" w:w="74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分析和建议可自动化，审批、变更实施和高风险动作继续由生产流程控制。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可运营升级</w:t>
            </w:r>
          </w:p>
        </w:tc>
        <w:tc>
          <w:tcPr>
            <w:tcW w:type="dxa" w:w="74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版本锁定、兼容性验证、灰度、回滚、监控和成本治理纳入平台生命周期。</w:t>
            </w:r>
          </w:p>
        </w:tc>
      </w:tr>
    </w:tbl>
    <w:p>
      <w:pPr>
        <w:spacing w:after="0"/>
      </w:pPr>
    </w:p>
    <w:p>
      <w:pPr>
        <w:pStyle w:val="Heading1"/>
      </w:pPr>
      <w:r>
        <w:t>二、总体架构设计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25800"/>
            <wp:docPr id="1" name="Picture 1" title="BankOps 运维智能体目标架构" descr="从访问入口、身份控制、Agent 运行、MCP 能力到共享数据平台的五层目标架构图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sh_targe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BankOps"/>
        <w:jc w:val="center"/>
      </w:pPr>
      <w:r>
        <w:t>图 1  BankOps 运维智能体目标架构（生产目标态）</w:t>
      </w:r>
    </w:p>
    <w:p>
      <w:pPr>
        <w:pStyle w:val="BodyText"/>
      </w:pPr>
      <w:r>
        <w:t>该架构将 DSH 定位为可替换的运行组件，而不是全平台。运维人员从 Portal 进入个人 AI 工作台；固定场景由 Agent Control API 发起 Headless 任务；Runtime Manager 管理每用户或每任务实例；所有工具调用经 MCP Gateway 执行身份解析、授权、审计、限流和策略控制。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200"/>
        <w:gridCol w:w="3300"/>
        <w:gridCol w:w="48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核心组件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职责边界</w:t>
            </w:r>
          </w:p>
        </w:tc>
      </w:tr>
      <w:tr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访问层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Portal、ITSM、监控平台、Open API</w:t>
            </w:r>
          </w:p>
        </w:tc>
        <w:tc>
          <w:tcPr>
            <w:tcW w:type="dxa" w:w="48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登录、场景入口、任务提交、结果展示和流程联动</w:t>
            </w:r>
          </w:p>
        </w:tc>
      </w:tr>
      <w:tr>
        <w:tc>
          <w:tcPr>
            <w:tcW w:type="dxa" w:w="12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控制层</w:t>
            </w:r>
          </w:p>
        </w:tc>
        <w:tc>
          <w:tcPr>
            <w:tcW w:type="dxa" w:w="33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认证网关、Identity、Agent Control API、Runtime Manager</w:t>
            </w:r>
          </w:p>
        </w:tc>
        <w:tc>
          <w:tcPr>
            <w:tcW w:type="dxa" w:w="48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身份、RBAC、任务生命周期、幂等、运行时调度</w:t>
            </w:r>
          </w:p>
        </w:tc>
      </w:tr>
      <w:tr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运行层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每用户 DSH、Headless DSH、Skill/Persona</w:t>
            </w:r>
          </w:p>
        </w:tc>
        <w:tc>
          <w:tcPr>
            <w:tcW w:type="dxa" w:w="48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规划、推理、工具选择、上下文组装和结果生成</w:t>
            </w:r>
          </w:p>
        </w:tc>
      </w:tr>
      <w:tr>
        <w:tc>
          <w:tcPr>
            <w:tcW w:type="dxa" w:w="12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能力层</w:t>
            </w:r>
          </w:p>
        </w:tc>
        <w:tc>
          <w:tcPr>
            <w:tcW w:type="dxa" w:w="33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MCP Gateway、领域/知识/记忆/通用 MCP</w:t>
            </w:r>
          </w:p>
        </w:tc>
        <w:tc>
          <w:tcPr>
            <w:tcW w:type="dxa" w:w="48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工具目录、鉴权、策略、审计、协议适配和系统访问</w:t>
            </w:r>
          </w:p>
        </w:tc>
      </w:tr>
      <w:tr>
        <w:tc>
          <w:tcPr>
            <w:tcW w:type="dxa" w:w="12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数据层</w:t>
            </w:r>
          </w:p>
        </w:tc>
        <w:tc>
          <w:tcPr>
            <w:tcW w:type="dxa" w:w="33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PostgreSQL、Elasticsearch、MinIO</w:t>
            </w:r>
          </w:p>
        </w:tc>
        <w:tc>
          <w:tcPr>
            <w:tcW w:type="dxa" w:w="48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主数据与 ACL、检索数据、原始文件和报告制品</w:t>
            </w:r>
          </w:p>
        </w:tc>
      </w:tr>
      <w:tr>
        <w:tc>
          <w:tcPr>
            <w:tcW w:type="dxa" w:w="12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生产系统</w:t>
            </w:r>
          </w:p>
        </w:tc>
        <w:tc>
          <w:tcPr>
            <w:tcW w:type="dxa" w:w="33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CMDB、ITSM、监控、日志、数据库、自动化平台</w:t>
            </w:r>
          </w:p>
        </w:tc>
        <w:tc>
          <w:tcPr>
            <w:tcW w:type="dxa" w:w="48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权威事实与受控执行能力</w:t>
            </w:r>
          </w:p>
        </w:tc>
      </w:tr>
    </w:tbl>
    <w:p>
      <w:pPr>
        <w:spacing w:after="0"/>
      </w:pPr>
    </w:p>
    <w:p>
      <w:pPr>
        <w:pStyle w:val="Heading2"/>
      </w:pPr>
      <w:r>
        <w:t>2.1 核心工程关系</w:t>
      </w:r>
    </w:p>
    <w:p>
      <w:pPr>
        <w:pStyle w:val="ListBullet"/>
      </w:pPr>
      <w:r>
        <w:t>Harness：可执行能力工程的运行内核，负责模型与工具之间的 Agent 循环。</w:t>
      </w:r>
    </w:p>
    <w:p>
      <w:pPr>
        <w:pStyle w:val="ListBullet"/>
      </w:pPr>
      <w:r>
        <w:t>Skill：业务分析方法和质量约束，描述目标、边界、调查策略、证据要求和完成条件，不应写死所有 MCP 方法。</w:t>
      </w:r>
    </w:p>
    <w:p>
      <w:pPr>
        <w:pStyle w:val="ListBullet"/>
      </w:pPr>
      <w:r>
        <w:t>MCP：真实能力接口，工具描述和输入 Schema 同时构成模型可发现的“能力目录”。</w:t>
      </w:r>
    </w:p>
    <w:p>
      <w:pPr>
        <w:pStyle w:val="ListBullet"/>
      </w:pPr>
      <w:r>
        <w:t>Workflow/ITSM：确定性流程、审批、状态、SLA 和操作闭环；需要时调用 Agent API 获取分析结果。</w:t>
      </w:r>
    </w:p>
    <w:p>
      <w:pPr>
        <w:pStyle w:val="ListBullet"/>
      </w:pPr>
      <w:r>
        <w:t>知识与记忆：知识库提供制度和文档依据，记忆提供经治理的用户/工作区上下文，两者不能替代实时生产事实。</w:t>
      </w:r>
    </w:p>
    <w:p>
      <w:pPr>
        <w:shd w:fill="FFF4E5"/>
        <w:spacing w:before="80" w:after="160" w:line="259" w:lineRule="auto"/>
        <w:ind w:left="144" w:right="144"/>
      </w:pPr>
      <w:r>
        <w:rPr>
          <w:b/>
          <w:color w:val="B26A00"/>
          <w:sz w:val="22"/>
        </w:rPr>
        <w:t>关键边界</w:t>
        <w:br/>
      </w:r>
      <w:r>
        <w:rPr>
          <w:color w:val="263238"/>
          <w:sz w:val="20"/>
        </w:rPr>
        <w:t>Skill 可以指导“怎么查、何时停、证据是否充分”，但不能充当权限系统；模型可以提出生产操作建议，但不能绕过 ITSM 审批和自动化平台的操作控制。</w:t>
      </w:r>
    </w:p>
    <w:p>
      <w:pPr>
        <w:pStyle w:val="Heading1"/>
      </w:pPr>
      <w:r>
        <w:t>三、当前建设成果</w:t>
      </w:r>
    </w:p>
    <w:p>
      <w:pPr>
        <w:pStyle w:val="Heading2"/>
      </w:pPr>
      <w:r>
        <w:t>3.1 DSH 运行与插件体系</w:t>
      </w:r>
    </w:p>
    <w:p>
      <w:pPr>
        <w:pStyle w:val="BodyText"/>
      </w:pPr>
      <w:r>
        <w:t>已将 DeepSeek Harness 固定在 0.1.0-rc.6，并记录上游提交和第三方插件版本。BankOps 扩展全部作为仓库外插件加载，不修改上游源码，以便后续升级、替换和回滚。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500"/>
        <w:gridCol w:w="4800"/>
        <w:gridCol w:w="30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已加载能力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适用范围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web</w:t>
            </w:r>
          </w:p>
        </w:tc>
        <w:tc>
          <w:tcPr>
            <w:tcW w:type="dxa" w:w="48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BankOps Core、变更分析、巡检、用户 Skill、知识记忆、GenUI、Deeplink</w:t>
            </w:r>
          </w:p>
        </w:tc>
        <w:tc>
          <w:tcPr>
            <w:tcW w:type="dxa" w:w="30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运维人员交互式使用</w:t>
            </w:r>
          </w:p>
        </w:tc>
      </w:tr>
      <w:tr>
        <w:tc>
          <w:tcPr>
            <w:tcW w:type="dxa" w:w="15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headless</w:t>
            </w:r>
          </w:p>
        </w:tc>
        <w:tc>
          <w:tcPr>
            <w:tcW w:type="dxa" w:w="48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核心领域 Skill、用户 Skill、知识记忆</w:t>
            </w:r>
          </w:p>
        </w:tc>
        <w:tc>
          <w:tcPr>
            <w:tcW w:type="dxa" w:w="30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Agent API 和批量任务调用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dev</w:t>
            </w:r>
          </w:p>
        </w:tc>
        <w:tc>
          <w:tcPr>
            <w:tcW w:type="dxa" w:w="48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业务能力 + Context Doctor、Plugin Check、Security Audit</w:t>
            </w:r>
          </w:p>
        </w:tc>
        <w:tc>
          <w:tcPr>
            <w:tcW w:type="dxa" w:w="30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开发、兼容性和安全诊断</w:t>
            </w:r>
          </w:p>
        </w:tc>
      </w:tr>
    </w:tbl>
    <w:p>
      <w:pPr>
        <w:spacing w:after="0"/>
      </w:pPr>
    </w:p>
    <w:p>
      <w:pPr>
        <w:pStyle w:val="BodyText"/>
      </w:pPr>
      <w:r>
        <w:t>Eval Harness 已完成选型与版本锁定，但因当前插件构建产物和 rc.6 依赖兼容问题暂未启用。这体现了“先验证兼容性、再装入生产 Profile”的插件治理原则。</w:t>
      </w:r>
    </w:p>
    <w:p>
      <w:pPr>
        <w:pStyle w:val="Heading2"/>
      </w:pPr>
      <w:r>
        <w:t>3.2 两个核心业务场景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5100"/>
        <w:gridCol w:w="24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当前能力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典型对象/样例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变更影响分析</w:t>
            </w:r>
          </w:p>
        </w:tc>
        <w:tc>
          <w:tcPr>
            <w:tcW w:type="dxa" w:w="51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读取变更事实，展开 CMDB 依赖，关联告警、性能、容量和历史事件，形成风险等级、影响范围、数据缺口、建议与证据</w:t>
            </w:r>
          </w:p>
        </w:tc>
        <w:tc>
          <w:tcPr>
            <w:tcW w:type="dxa" w:w="24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应用发布 CHG20260814001；防火墙开通 CHG20260814002</w:t>
            </w:r>
          </w:p>
        </w:tc>
      </w:tr>
      <w:tr>
        <w:tc>
          <w:tcPr>
            <w:tcW w:type="dxa" w:w="18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应用系统巡检</w:t>
            </w:r>
          </w:p>
        </w:tc>
        <w:tc>
          <w:tcPr>
            <w:tcW w:type="dxa" w:w="51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按 service_id 盘点模块、实例、IP、数据库、中间件、网络和上下游，再综合告警、性能、容量和历史事件输出健康报告</w:t>
            </w:r>
          </w:p>
        </w:tc>
        <w:tc>
          <w:tcPr>
            <w:tcW w:type="dxa" w:w="24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SVC-PAYMENT-GATEWAY / production</w:t>
            </w:r>
          </w:p>
        </w:tc>
      </w:tr>
    </w:tbl>
    <w:p>
      <w:pPr>
        <w:spacing w:after="0"/>
      </w:pPr>
    </w:p>
    <w:p>
      <w:pPr>
        <w:pStyle w:val="BodyText"/>
      </w:pPr>
      <w:r>
        <w:t>两个 Skill 已从“固定调用某个 MCP 方法”调整为“声明能力边界与调查策略”。模型根据当前已加载工具的名称、描述和 JSON Schema 自主选择最少充分调用，并遵守空结果不等于正常、仅对瞬时错误重试一次、结果可复用、达到完成条件即停止等 Token 治理规则。</w:t>
      </w:r>
    </w:p>
    <w:p>
      <w:pPr>
        <w:pStyle w:val="Heading2"/>
      </w:pPr>
      <w:r>
        <w:t>3.3 MCP 与模拟数据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500"/>
        <w:gridCol w:w="900"/>
        <w:gridCol w:w="3900"/>
        <w:gridCol w:w="30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MCP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端口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代表工具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ChangeInfo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8941</w:t>
            </w:r>
          </w:p>
        </w:tc>
        <w:tc>
          <w:tcPr>
            <w:tcW w:type="dxa" w:w="3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变更主数据、历史相似变更</w:t>
            </w:r>
          </w:p>
        </w:tc>
        <w:tc>
          <w:tcPr>
            <w:tcW w:type="dxa" w:w="30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get_change / find_similar_changes</w:t>
            </w:r>
          </w:p>
        </w:tc>
      </w:tr>
      <w:tr>
        <w:tc>
          <w:tcPr>
            <w:tcW w:type="dxa" w:w="15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CMDB</w:t>
            </w:r>
          </w:p>
        </w:tc>
        <w:tc>
          <w:tcPr>
            <w:tcW w:type="dxa" w:w="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8942</w:t>
            </w:r>
          </w:p>
        </w:tc>
        <w:tc>
          <w:tcPr>
            <w:tcW w:type="dxa" w:w="3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CI、服务资产、拓扑和网络路径</w:t>
            </w:r>
          </w:p>
        </w:tc>
        <w:tc>
          <w:tcPr>
            <w:tcW w:type="dxa" w:w="30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get_service_inventory / get_topology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AlertInfo</w:t>
            </w:r>
          </w:p>
        </w:tc>
        <w:tc>
          <w:tcPr>
            <w:tcW w:type="dxa" w:w="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8943</w:t>
            </w:r>
          </w:p>
        </w:tc>
        <w:tc>
          <w:tcPr>
            <w:tcW w:type="dxa" w:w="3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告警汇总、明细和历史事件</w:t>
            </w:r>
          </w:p>
        </w:tc>
        <w:tc>
          <w:tcPr>
            <w:tcW w:type="dxa" w:w="30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summarize_alerts / find_related_incidents</w:t>
            </w:r>
          </w:p>
        </w:tc>
      </w:tr>
      <w:tr>
        <w:tc>
          <w:tcPr>
            <w:tcW w:type="dxa" w:w="15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PerfInfo</w:t>
            </w:r>
          </w:p>
        </w:tc>
        <w:tc>
          <w:tcPr>
            <w:tcW w:type="dxa" w:w="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8944</w:t>
            </w:r>
          </w:p>
        </w:tc>
        <w:tc>
          <w:tcPr>
            <w:tcW w:type="dxa" w:w="3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指标发现、性能与容量汇总</w:t>
            </w:r>
          </w:p>
        </w:tc>
        <w:tc>
          <w:tcPr>
            <w:tcW w:type="dxa" w:w="30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list_available_metrics / get_performance_summary</w:t>
            </w:r>
          </w:p>
        </w:tc>
      </w:tr>
    </w:tbl>
    <w:p>
      <w:pPr>
        <w:spacing w:after="0"/>
      </w:pPr>
    </w:p>
    <w:p>
      <w:pPr>
        <w:pStyle w:val="BodyText"/>
      </w:pPr>
      <w:r>
        <w:t>Elasticsearch 中已构造趋近真实的数据模型，覆盖应用模块、Kubernetes/IP 节点、数据库、Redis、Kafka、负载均衡、网络路径、上下游、告警、事件、性能和容量指标。当前数据用于场景验证，生产阶段必须替换为对权威系统的只读适配。</w:t>
      </w:r>
    </w:p>
    <w:p>
      <w:pPr>
        <w:pStyle w:val="Heading2"/>
      </w:pPr>
      <w:r>
        <w:t>3.4 平台公共能力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700"/>
        <w:gridCol w:w="4900"/>
        <w:gridCol w:w="27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已实现内容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当前定位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BankOps Portal</w:t>
            </w:r>
          </w:p>
        </w:tc>
        <w:tc>
          <w:tcPr>
            <w:tcW w:type="dxa" w:w="4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登录、注册、用户工作台、变更分析、系统巡检、知识页面、Skill Studio</w:t>
            </w:r>
          </w:p>
        </w:tc>
        <w:tc>
          <w:tcPr>
            <w:tcW w:type="dxa" w:w="27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统一用户入口；浏览器不直接访问 MCP</w:t>
            </w:r>
          </w:p>
        </w:tc>
      </w:tr>
      <w:tr>
        <w:tc>
          <w:tcPr>
            <w:tcW w:type="dxa" w:w="17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Identity Service</w:t>
            </w:r>
          </w:p>
        </w:tc>
        <w:tc>
          <w:tcPr>
            <w:tcW w:type="dxa" w:w="4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本地账号、七团队、角色、审批、会话、CSRF、锁定、审计、签名身份</w:t>
            </w:r>
          </w:p>
        </w:tc>
        <w:tc>
          <w:tcPr>
            <w:tcW w:type="dxa" w:w="27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未来可替换认证来源并接入 SSO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Agent Control API</w:t>
            </w:r>
          </w:p>
        </w:tc>
        <w:tc>
          <w:tcPr>
            <w:tcW w:type="dxa" w:w="4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异步任务、幂等、取消、持久化、真实/模拟 Runner、MCP 目录、Skill 版本管理</w:t>
            </w:r>
          </w:p>
        </w:tc>
        <w:tc>
          <w:tcPr>
            <w:tcW w:type="dxa" w:w="27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给 Portal 和外部系统的稳定业务接口</w:t>
            </w:r>
          </w:p>
        </w:tc>
      </w:tr>
      <w:tr>
        <w:tc>
          <w:tcPr>
            <w:tcW w:type="dxa" w:w="17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Skill Studio</w:t>
            </w:r>
          </w:p>
        </w:tc>
        <w:tc>
          <w:tcPr>
            <w:tcW w:type="dxa" w:w="4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工具目录、Skill 编辑、校验、不可变版本、发布、回滚</w:t>
            </w:r>
          </w:p>
        </w:tc>
        <w:tc>
          <w:tcPr>
            <w:tcW w:type="dxa" w:w="27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降低用户不知道 MCP 方法、无法维护 Skill 的门槛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知识平台</w:t>
            </w:r>
          </w:p>
        </w:tc>
        <w:tc>
          <w:tcPr>
            <w:tcW w:type="dxa" w:w="4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文件上传、MinIO 存储、PG 元数据/ACL、异步抽取分块、ES 检索、知识上下文</w:t>
            </w:r>
          </w:p>
        </w:tc>
        <w:tc>
          <w:tcPr>
            <w:tcW w:type="dxa" w:w="27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支撑文件到知识的本地化存储</w:t>
            </w:r>
          </w:p>
        </w:tc>
      </w:tr>
      <w:tr>
        <w:tc>
          <w:tcPr>
            <w:tcW w:type="dxa" w:w="17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Memory MCP</w:t>
            </w:r>
          </w:p>
        </w:tc>
        <w:tc>
          <w:tcPr>
            <w:tcW w:type="dxa" w:w="4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记忆写入、召回、列表、删除</w:t>
            </w:r>
          </w:p>
        </w:tc>
        <w:tc>
          <w:tcPr>
            <w:tcW w:type="dxa" w:w="27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用户和工作区长期上下文的受控能力</w:t>
            </w:r>
          </w:p>
        </w:tc>
      </w:tr>
    </w:tbl>
    <w:p>
      <w:pPr>
        <w:spacing w:after="0"/>
      </w:pPr>
    </w:p>
    <w:p>
      <w:pPr>
        <w:pStyle w:val="Heading2"/>
      </w:pPr>
      <w:r>
        <w:t>3.5 身份与组织模型</w:t>
      </w:r>
    </w:p>
    <w:p>
      <w:pPr>
        <w:pStyle w:val="BodyText"/>
      </w:pPr>
      <w:r>
        <w:t>已预置综合、技术、安全、云、系统、网络、环境七个团队，并定义平台管理员、部门管理员、运维人员、安全审计、知识管理员和 Skill 开发者等角色。自助注册用户默认待审批，浏览器会话和写操作具备基础安全控制。</w:t>
      </w:r>
    </w:p>
    <w:p>
      <w:pPr>
        <w:shd w:fill="FDECEC"/>
        <w:spacing w:before="80" w:after="160" w:line="259" w:lineRule="auto"/>
        <w:ind w:left="144" w:right="144"/>
      </w:pPr>
      <w:r>
        <w:rPr>
          <w:b/>
          <w:color w:val="B42318"/>
          <w:sz w:val="22"/>
        </w:rPr>
        <w:t>当前身份边界</w:t>
        <w:br/>
      </w:r>
      <w:r>
        <w:rPr>
          <w:color w:val="263238"/>
          <w:sz w:val="20"/>
        </w:rPr>
        <w:t>Portal、Agent/File/Knowledge REST 已能接收签名身份；但共享 DSH Web 尚不能把每个 Portal 会话安全映射为独立 DSH/MCP 身份。因此当前 3080 只能作为本机验证入口，不能直接发布到用户网络。</w:t>
      </w:r>
    </w:p>
    <w:p>
      <w:pPr>
        <w:pStyle w:val="Heading1"/>
      </w:pPr>
      <w:r>
        <w:t>四、已完成的验证</w:t>
      </w:r>
    </w:p>
    <w:p>
      <w:pPr>
        <w:pStyle w:val="BodyText"/>
      </w:pPr>
      <w:r>
        <w:t>2026 年 8 月 18 日基于当前代码和本地 Docker 环境重新核对。以下结果是技术验证基线，不等同于生产性能、灾备或安全验收。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1800"/>
        <w:gridCol w:w="56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验证域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本次结果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Agent Control API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20 / 20 通过</w:t>
            </w:r>
          </w:p>
        </w:tc>
        <w:tc>
          <w:tcPr>
            <w:tcW w:type="dxa" w:w="56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输入校验、签名身份、任务生命周期、幂等/取消、巡检与变更、MCP 目录、Skill 发布回滚</w:t>
            </w:r>
          </w:p>
        </w:tc>
      </w:tr>
      <w:tr>
        <w:tc>
          <w:tcPr>
            <w:tcW w:type="dxa" w:w="1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Identity Service</w:t>
            </w:r>
          </w:p>
        </w:tc>
        <w:tc>
          <w:tcPr>
            <w:tcW w:type="dxa" w:w="18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3 / 3 通过</w:t>
            </w:r>
          </w:p>
        </w:tc>
        <w:tc>
          <w:tcPr>
            <w:tcW w:type="dxa" w:w="56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用户名/密码策略、scrypt 哈希校验、会话 Cookie 解析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Knowledge Platform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2 / 2 通过</w:t>
            </w:r>
          </w:p>
        </w:tc>
        <w:tc>
          <w:tcPr>
            <w:tcW w:type="dxa" w:w="56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文档类型识别、文本抽取分块与重叠边界</w:t>
            </w:r>
          </w:p>
        </w:tc>
      </w:tr>
      <w:tr>
        <w:tc>
          <w:tcPr>
            <w:tcW w:type="dxa" w:w="1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BankOps 插件</w:t>
            </w:r>
          </w:p>
        </w:tc>
        <w:tc>
          <w:tcPr>
            <w:tcW w:type="dxa" w:w="18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12 / 12 通过</w:t>
            </w:r>
          </w:p>
        </w:tc>
        <w:tc>
          <w:tcPr>
            <w:tcW w:type="dxa" w:w="56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Core、变更、巡检、知识记忆、用户 Skill 的清单与加载结构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领域 MCP 冒烟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10 个检查通过</w:t>
            </w:r>
          </w:p>
        </w:tc>
        <w:tc>
          <w:tcPr>
            <w:tcW w:type="dxa" w:w="56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应用发布、防火墙、系统资产、拓扑、告警、事件、性能和容量查询</w:t>
            </w:r>
          </w:p>
        </w:tc>
      </w:tr>
      <w:tr>
        <w:tc>
          <w:tcPr>
            <w:tcW w:type="dxa" w:w="1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知识与记忆冒烟</w:t>
            </w:r>
          </w:p>
        </w:tc>
        <w:tc>
          <w:tcPr>
            <w:tcW w:type="dxa" w:w="18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通过</w:t>
            </w:r>
          </w:p>
        </w:tc>
        <w:tc>
          <w:tcPr>
            <w:tcW w:type="dxa" w:w="56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样例运行手册可检索；记忆 remember/recall/forget 生命周期成功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容器运行状态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17 个相关容器运行</w:t>
            </w:r>
          </w:p>
        </w:tc>
        <w:tc>
          <w:tcPr>
            <w:tcW w:type="dxa" w:w="56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16 个配置健康检查且均为 healthy；知识 Worker 正常运行但未配置健康检查</w:t>
            </w:r>
          </w:p>
        </w:tc>
      </w:tr>
    </w:tbl>
    <w:p>
      <w:pPr>
        <w:spacing w:after="0"/>
      </w:pPr>
    </w:p>
    <w:p>
      <w:pPr>
        <w:pStyle w:val="Heading2"/>
      </w:pPr>
      <w:r>
        <w:t>4.1 场景闭环验证</w:t>
      </w:r>
    </w:p>
    <w:p>
      <w:pPr>
        <w:pStyle w:val="ListNumber"/>
        <w:numPr>
          <w:ilvl w:val="0"/>
          <w:numId w:val="11"/>
        </w:numPr>
      </w:pPr>
      <w:r>
        <w:t>应用发布：从变更单取得应用与窗口，展开支付网关的应用、节点、数据库、中间件和上下游，关联告警与指标。</w:t>
      </w:r>
    </w:p>
    <w:p>
      <w:pPr>
        <w:pStyle w:val="ListNumber"/>
        <w:numPr>
          <w:ilvl w:val="0"/>
          <w:numId w:val="11"/>
        </w:numPr>
      </w:pPr>
      <w:r>
        <w:t>防火墙开通：从申请信息取得源/目标、协议端口和窗口，核对安全域、网络路径、历史事件和网络设备性能。</w:t>
      </w:r>
    </w:p>
    <w:p>
      <w:pPr>
        <w:pStyle w:val="ListNumber"/>
        <w:numPr>
          <w:ilvl w:val="0"/>
          <w:numId w:val="11"/>
        </w:numPr>
      </w:pPr>
      <w:r>
        <w:t>系统巡检：以 SVC-PAYMENT-GATEWAY 为入口盘点生产资产，先发现指标再查询性能/容量，形成可追溯的综合分析输入。</w:t>
      </w:r>
    </w:p>
    <w:p>
      <w:pPr>
        <w:pStyle w:val="ListNumber"/>
        <w:numPr>
          <w:ilvl w:val="0"/>
          <w:numId w:val="11"/>
        </w:numPr>
      </w:pPr>
      <w:r>
        <w:t>知识与上下文：上传运行手册后完成抽取与检索；Knowledge MCP 与 Memory MCP 已接入 DSH Profile。</w:t>
      </w:r>
    </w:p>
    <w:p>
      <w:pPr>
        <w:pStyle w:val="Heading2"/>
      </w:pPr>
      <w:r>
        <w:t>4.2 验证结论与限制</w:t>
      </w:r>
    </w:p>
    <w:p>
      <w:pPr>
        <w:pStyle w:val="ListBullet"/>
      </w:pPr>
      <w:r>
        <w:t>已证明 MCP 工具发现、Skill 约束、自适应调用、结构化结果和固定 API 的链路可行。</w:t>
      </w:r>
    </w:p>
    <w:p>
      <w:pPr>
        <w:pStyle w:val="ListBullet"/>
      </w:pPr>
      <w:r>
        <w:t>已证明 PostgreSQL + Elasticsearch + MinIO 可以作为共享平台数据底座，但数据访问必须经服务层授权。</w:t>
      </w:r>
    </w:p>
    <w:p>
      <w:pPr>
        <w:pStyle w:val="ListBullet"/>
      </w:pPr>
      <w:r>
        <w:t>尚未完成真实 CMDB/ITSM/监控生产接口、并发性能、多租户隔离、故障切换、备份恢复和安全攻防验证。</w:t>
      </w:r>
    </w:p>
    <w:p>
      <w:pPr>
        <w:pStyle w:val="ListBullet"/>
      </w:pPr>
      <w:r>
        <w:t>当前 Filesystem、Git、Playwright MCP 的宿主机端口绑定为 0.0.0.0，是本地环境的安全整改项；共享环境应收敛到回环或内部网络并由 Gateway 统一暴露。</w:t>
      </w:r>
    </w:p>
    <w:p>
      <w:pPr>
        <w:pStyle w:val="Heading1"/>
      </w:pPr>
      <w:r>
        <w:t>五、结合生产需求的落地设计</w:t>
      </w:r>
    </w:p>
    <w:p>
      <w:pPr>
        <w:pStyle w:val="Heading2"/>
      </w:pPr>
      <w:r>
        <w:t>5.1 双入口使用模式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2700"/>
        <w:gridCol w:w="2800"/>
        <w:gridCol w:w="20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适用场景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运行方式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治理要求</w:t>
            </w:r>
          </w:p>
        </w:tc>
      </w:tr>
      <w:tr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个人 AI 工作台</w:t>
            </w:r>
          </w:p>
        </w:tc>
        <w:tc>
          <w:tcPr>
            <w:tcW w:type="dxa" w:w="27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探索式分析、知识问答、临时调查、Skill 使用</w:t>
            </w:r>
          </w:p>
        </w:tc>
        <w:tc>
          <w:tcPr>
            <w:tcW w:type="dxa" w:w="28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Portal 登录后启动/恢复专属 DSH Runtime</w:t>
            </w:r>
          </w:p>
        </w:tc>
        <w:tc>
          <w:tcPr>
            <w:tcW w:type="dxa" w:w="20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每用户隔离、闲置停止、工具最小授权、全链路审计</w:t>
            </w:r>
          </w:p>
        </w:tc>
      </w:tr>
      <w:tr>
        <w:tc>
          <w:tcPr>
            <w:tcW w:type="dxa" w:w="18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固定流程接口</w:t>
            </w:r>
          </w:p>
        </w:tc>
        <w:tc>
          <w:tcPr>
            <w:tcW w:type="dxa" w:w="27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ITSM 变更评审、定时巡检、监控告警分析</w:t>
            </w:r>
          </w:p>
        </w:tc>
        <w:tc>
          <w:tcPr>
            <w:tcW w:type="dxa" w:w="28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业务系统调用 Agent Control API，触发 Headless 任务</w:t>
            </w:r>
          </w:p>
        </w:tc>
        <w:tc>
          <w:tcPr>
            <w:tcW w:type="dxa" w:w="20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幂等、超时、结构化契约、人工复核、结果回写</w:t>
            </w:r>
          </w:p>
        </w:tc>
      </w:tr>
    </w:tbl>
    <w:p>
      <w:pPr>
        <w:spacing w:after="0"/>
      </w:pPr>
    </w:p>
    <w:p>
      <w:pPr>
        <w:pStyle w:val="Heading2"/>
      </w:pPr>
      <w:r>
        <w:t>5.2 “认证网关 + 每用户 DSH Runtime”</w:t>
      </w:r>
    </w:p>
    <w:p>
      <w:pPr>
        <w:pStyle w:val="BodyText"/>
      </w:pPr>
      <w:r>
        <w:t>生产目标是每个用户拥有持久工作区、最多一个活动 Runtime。用户进入“AI 工作台”时，Runtime Manager 根据数据库租约启动或恢复容器/Pod；DSH Gateway 校验 Portal 会话并代理 HTTP、SSE 和 WebSocket；Runtime 无宿主机公开端口，只能访问私有模型端点、MCP Gateway 和必要的平台服务。</w:t>
      </w:r>
    </w:p>
    <w:p>
      <w:pPr>
        <w:pStyle w:val="ListNumber"/>
        <w:numPr>
          <w:ilvl w:val="0"/>
          <w:numId w:val="12"/>
        </w:numPr>
      </w:pPr>
      <w:r>
        <w:t>用户登录 Portal，获得受控应用会话。</w:t>
      </w:r>
    </w:p>
    <w:p>
      <w:pPr>
        <w:pStyle w:val="ListNumber"/>
        <w:numPr>
          <w:ilvl w:val="0"/>
          <w:numId w:val="12"/>
        </w:numPr>
      </w:pPr>
      <w:r>
        <w:t>Gateway 生成短时、一次性启动票据，Runtime Manager 以幂等方式取得用户租约。</w:t>
      </w:r>
    </w:p>
    <w:p>
      <w:pPr>
        <w:pStyle w:val="ListNumber"/>
        <w:numPr>
          <w:ilvl w:val="0"/>
          <w:numId w:val="12"/>
        </w:numPr>
      </w:pPr>
      <w:r>
        <w:t>运行时挂载独立 DSH Home 和 Workspace，使用版本化镜像启动。</w:t>
      </w:r>
    </w:p>
    <w:p>
      <w:pPr>
        <w:pStyle w:val="ListNumber"/>
        <w:numPr>
          <w:ilvl w:val="0"/>
          <w:numId w:val="12"/>
        </w:numPr>
      </w:pPr>
      <w:r>
        <w:t>运行时凭短期工作负载身份访问 MCP Gateway，不持有用户密码、Portal Cookie 或数据库管理员凭据。</w:t>
      </w:r>
    </w:p>
    <w:p>
      <w:pPr>
        <w:pStyle w:val="ListNumber"/>
        <w:numPr>
          <w:ilvl w:val="0"/>
          <w:numId w:val="12"/>
        </w:numPr>
      </w:pPr>
      <w:r>
        <w:t>闲置停止并保留工作区；升级时按镜像版本灰度、排空、重启和回滚。</w:t>
      </w:r>
    </w:p>
    <w:p>
      <w:pPr>
        <w:pStyle w:val="Heading2"/>
      </w:pPr>
      <w:r>
        <w:t>5.3 MCP Gateway 与数据权限</w:t>
      </w:r>
    </w:p>
    <w:p>
      <w:pPr>
        <w:pStyle w:val="BodyText"/>
      </w:pPr>
      <w:r>
        <w:t>MCP Gateway 是生产化的核心控制点。它应解析短期工作负载凭据，绑定 tenant、department、user、roles、runtime、workspace，剥离调用方伪造的身份头，并对下游签名。所有知识、记忆和业务数据查询必须在服务层追加 ACL 过滤，不能依赖模型“自觉不访问”。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控制项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生产要求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工具授权</w:t>
            </w:r>
          </w:p>
        </w:tc>
        <w:tc>
          <w:tcPr>
            <w:tcW w:type="dxa" w:w="74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按用户角色、场景、Skill 和风险等级暴露工具；写工具默认不可见或需审批。</w:t>
            </w:r>
          </w:p>
        </w:tc>
      </w:tr>
      <w:tr>
        <w:tc>
          <w:tcPr>
            <w:tcW w:type="dxa" w:w="1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数据授权</w:t>
            </w:r>
          </w:p>
        </w:tc>
        <w:tc>
          <w:tcPr>
            <w:tcW w:type="dxa" w:w="74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PG、ES、MinIO 统一使用租户、部门、所有者、工作区、可见性和文档 ACL。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操作策略</w:t>
            </w:r>
          </w:p>
        </w:tc>
        <w:tc>
          <w:tcPr>
            <w:tcW w:type="dxa" w:w="74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高风险工具参数校验、目标/命令白名单、二次确认、审批票据和速率限制。</w:t>
            </w:r>
          </w:p>
        </w:tc>
      </w:tr>
      <w:tr>
        <w:tc>
          <w:tcPr>
            <w:tcW w:type="dxa" w:w="1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审计追踪</w:t>
            </w:r>
          </w:p>
        </w:tc>
        <w:tc>
          <w:tcPr>
            <w:tcW w:type="dxa" w:w="74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记录用户、任务、模型、Skill 版本、工具、参数摘要、授权结果、证据和输出。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网络边界</w:t>
            </w:r>
          </w:p>
        </w:tc>
        <w:tc>
          <w:tcPr>
            <w:tcW w:type="dxa" w:w="74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Runtime 仅允许访问私有模型、MCP Gateway 和必要服务；生产系统由 MCP 服务访问。</w:t>
            </w:r>
          </w:p>
        </w:tc>
      </w:tr>
    </w:tbl>
    <w:p>
      <w:pPr>
        <w:spacing w:after="0"/>
      </w:pPr>
    </w:p>
    <w:p>
      <w:pPr>
        <w:pStyle w:val="Heading2"/>
      </w:pPr>
      <w:r>
        <w:t>5.4 私有模型与资源治理</w:t>
      </w:r>
    </w:p>
    <w:p>
      <w:pPr>
        <w:pStyle w:val="BodyText"/>
      </w:pPr>
      <w:r>
        <w:t>生产环境使用行内私有化模型，本阶段不建设面向外部的 Token 计费或算力服务。模型地址和凭据通过 Docker/Kubernetes Secret 注入，不进入镜像、源码、数据库或用户工作区。若后续出现多模型路由、统一模型授权或资源争用，再评估独立 LLM Gateway。</w:t>
      </w:r>
    </w:p>
    <w:p>
      <w:pPr>
        <w:pStyle w:val="Heading1"/>
      </w:pPr>
      <w:r>
        <w:t>六、生产级非功能建设要求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300"/>
        <w:gridCol w:w="5000"/>
        <w:gridCol w:w="306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最低建设要求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建议验收关注点</w:t>
            </w:r>
          </w:p>
        </w:tc>
      </w:tr>
      <w:tr>
        <w:tc>
          <w:tcPr>
            <w:tcW w:type="dxa" w:w="13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高可用</w:t>
            </w:r>
          </w:p>
        </w:tc>
        <w:tc>
          <w:tcPr>
            <w:tcW w:type="dxa" w:w="50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Portal/Gateway/API 无状态多副本；PG、ES、MinIO 采用生产集群与备份；Worker 可横向扩展</w:t>
            </w:r>
          </w:p>
        </w:tc>
        <w:tc>
          <w:tcPr>
            <w:tcW w:type="dxa" w:w="30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单实例故障不影响新请求；恢复目标可量化</w:t>
            </w:r>
          </w:p>
        </w:tc>
      </w:tr>
      <w:tr>
        <w:tc>
          <w:tcPr>
            <w:tcW w:type="dxa" w:w="13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容量与弹性</w:t>
            </w:r>
          </w:p>
        </w:tc>
        <w:tc>
          <w:tcPr>
            <w:tcW w:type="dxa" w:w="50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Runtime 配额、CPU/内存限制、启动准入、排队、背压、闲置回收</w:t>
            </w:r>
          </w:p>
        </w:tc>
        <w:tc>
          <w:tcPr>
            <w:tcW w:type="dxa" w:w="30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高峰并发、冷启动时间、资源利用率</w:t>
            </w:r>
          </w:p>
        </w:tc>
      </w:tr>
      <w:tr>
        <w:tc>
          <w:tcPr>
            <w:tcW w:type="dxa" w:w="13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可观测性</w:t>
            </w:r>
          </w:p>
        </w:tc>
        <w:tc>
          <w:tcPr>
            <w:tcW w:type="dxa" w:w="50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统一日志、指标、Trace、模型调用、MCP 调用、任务状态、失败原因和成本</w:t>
            </w:r>
          </w:p>
        </w:tc>
        <w:tc>
          <w:tcPr>
            <w:tcW w:type="dxa" w:w="30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可按用户/任务追踪完整调用链</w:t>
            </w:r>
          </w:p>
        </w:tc>
      </w:tr>
      <w:tr>
        <w:tc>
          <w:tcPr>
            <w:tcW w:type="dxa" w:w="13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安全</w:t>
            </w:r>
          </w:p>
        </w:tc>
        <w:tc>
          <w:tcPr>
            <w:tcW w:type="dxa" w:w="50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SSO、MFA 适配、最小权限、Secrets、TLS、NetworkPolicy、镜像扫描、安全审计</w:t>
            </w:r>
          </w:p>
        </w:tc>
        <w:tc>
          <w:tcPr>
            <w:tcW w:type="dxa" w:w="30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越权、伪造身份、提示注入和工具滥用测试</w:t>
            </w:r>
          </w:p>
        </w:tc>
      </w:tr>
      <w:tr>
        <w:tc>
          <w:tcPr>
            <w:tcW w:type="dxa" w:w="13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可靠性</w:t>
            </w:r>
          </w:p>
        </w:tc>
        <w:tc>
          <w:tcPr>
            <w:tcW w:type="dxa" w:w="50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幂等、超时、重试上限、熔断、取消、重启恢复、孤儿 Runtime 对账</w:t>
            </w:r>
          </w:p>
        </w:tc>
        <w:tc>
          <w:tcPr>
            <w:tcW w:type="dxa" w:w="30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不因重启重复消耗模型或重复执行工具</w:t>
            </w:r>
          </w:p>
        </w:tc>
      </w:tr>
      <w:tr>
        <w:tc>
          <w:tcPr>
            <w:tcW w:type="dxa" w:w="13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数据治理</w:t>
            </w:r>
          </w:p>
        </w:tc>
        <w:tc>
          <w:tcPr>
            <w:tcW w:type="dxa" w:w="50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权威源标识、数据新鲜度、质量规则、ACL、保留期、删除、脱敏和证据版本</w:t>
            </w:r>
          </w:p>
        </w:tc>
        <w:tc>
          <w:tcPr>
            <w:tcW w:type="dxa" w:w="30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报告可追溯到对象、来源和时间窗口</w:t>
            </w:r>
          </w:p>
        </w:tc>
      </w:tr>
      <w:tr>
        <w:tc>
          <w:tcPr>
            <w:tcW w:type="dxa" w:w="13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升级运维</w:t>
            </w:r>
          </w:p>
        </w:tc>
        <w:tc>
          <w:tcPr>
            <w:tcW w:type="dxa" w:w="50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DSH/插件/Skill/MCP/模型分别版本化，兼容性门禁、灰度、回滚与变更记录</w:t>
            </w:r>
          </w:p>
        </w:tc>
        <w:tc>
          <w:tcPr>
            <w:tcW w:type="dxa" w:w="30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上游升级不要求同步重构 Portal 和业务 API</w:t>
            </w:r>
          </w:p>
        </w:tc>
      </w:tr>
    </w:tbl>
    <w:p>
      <w:pPr>
        <w:spacing w:after="0"/>
      </w:pPr>
    </w:p>
    <w:p>
      <w:pPr>
        <w:shd w:fill="FDECEC"/>
        <w:spacing w:before="80" w:after="160" w:line="259" w:lineRule="auto"/>
        <w:ind w:left="144" w:right="144"/>
      </w:pPr>
      <w:r>
        <w:rPr>
          <w:b/>
          <w:color w:val="B42318"/>
          <w:sz w:val="22"/>
        </w:rPr>
        <w:t>生产安全底线</w:t>
        <w:br/>
      </w:r>
      <w:r>
        <w:rPr>
          <w:color w:val="263238"/>
          <w:sz w:val="20"/>
        </w:rPr>
        <w:t>DSH Runtime 是非可信执行环境：不得挂载用户主目录、生产密钥或数据库管理员凭据；不得直接暴露 3080 和 MCP 端口；任何写操作均需服务端策略和流程审批。</w:t>
      </w:r>
    </w:p>
    <w:p>
      <w:pPr>
        <w:pStyle w:val="Heading1"/>
      </w:pPr>
      <w:r>
        <w:t>七、后续建设路线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450"/>
        <w:gridCol w:w="2650"/>
        <w:gridCol w:w="3100"/>
        <w:gridCol w:w="2160"/>
      </w:tblGrid>
      <w:tr>
        <w:trPr>
          <w:cantSplit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重点任务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主要交付物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退出条件</w:t>
            </w:r>
          </w:p>
        </w:tc>
      </w:tr>
      <w:tr>
        <w:tc>
          <w:tcPr>
            <w:tcW w:type="dxa" w:w="145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阶段 0：已完成</w:t>
              <w:br/>
              <w:t>原型基线</w:t>
            </w:r>
          </w:p>
        </w:tc>
        <w:tc>
          <w:tcPr>
            <w:tcW w:type="dxa" w:w="265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DSH Docker/Profile；两类 Skill；领域 MCP；知识/记忆；Portal/身份/API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可运行本地环境、测试数据、场景接口、Skill Studio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当前技术闭环与单机验证通过</w:t>
            </w:r>
          </w:p>
        </w:tc>
      </w:tr>
      <w:tr>
        <w:tc>
          <w:tcPr>
            <w:tcW w:type="dxa" w:w="145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阶段 1：平台化</w:t>
              <w:br/>
              <w:t>试点准备</w:t>
            </w:r>
          </w:p>
        </w:tc>
        <w:tc>
          <w:tcPr>
            <w:tcW w:type="dxa" w:w="265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Runtime Manager、DSH Gateway、每用户工作区、Portal AI 工作台入口</w:t>
            </w:r>
          </w:p>
        </w:tc>
        <w:tc>
          <w:tcPr>
            <w:tcW w:type="dxa" w:w="31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Docker Provider、租约表、启动票据、闲置回收、版本化 Runtime</w:t>
            </w:r>
          </w:p>
        </w:tc>
        <w:tc>
          <w:tcPr>
            <w:tcW w:type="dxa" w:w="21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用户隔离与生命周期测试通过；3080 不再直连</w:t>
            </w:r>
          </w:p>
        </w:tc>
      </w:tr>
      <w:tr>
        <w:tc>
          <w:tcPr>
            <w:tcW w:type="dxa" w:w="145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阶段 2：安全与</w:t>
              <w:br/>
              <w:t>真实数据</w:t>
            </w:r>
          </w:p>
        </w:tc>
        <w:tc>
          <w:tcPr>
            <w:tcW w:type="dxa" w:w="265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MCP Gateway、工作负载身份、ACL、审计；接真实 CMDB/ITSM/监控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统一工具目录、策略引擎、三类生产适配器、审计查询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越权测试通过；两个场景用真实只读数据试运行</w:t>
            </w:r>
          </w:p>
        </w:tc>
      </w:tr>
      <w:tr>
        <w:tc>
          <w:tcPr>
            <w:tcW w:type="dxa" w:w="145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阶段 3：生产试点</w:t>
            </w:r>
          </w:p>
        </w:tc>
        <w:tc>
          <w:tcPr>
            <w:tcW w:type="dxa" w:w="265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固定流程嵌入、私有模型、可观测性、HA、备份恢复、压力与安全测试</w:t>
            </w:r>
          </w:p>
        </w:tc>
        <w:tc>
          <w:tcPr>
            <w:tcW w:type="dxa" w:w="31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试点环境、运维手册、应急预案、验收报告</w:t>
            </w:r>
          </w:p>
        </w:tc>
        <w:tc>
          <w:tcPr>
            <w:tcW w:type="dxa" w:w="21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选定团队稳定试用，达到可用性和质量指标</w:t>
            </w:r>
          </w:p>
        </w:tc>
      </w:tr>
      <w:tr>
        <w:tc>
          <w:tcPr>
            <w:tcW w:type="dxa" w:w="145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阶段 4：规模推广</w:t>
            </w:r>
          </w:p>
        </w:tc>
        <w:tc>
          <w:tcPr>
            <w:tcW w:type="dxa" w:w="265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Kubernetes Provider、多场景扩展、运营治理、持续评测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多副本平台、场景市场、评测集、容量模型</w:t>
            </w:r>
          </w:p>
        </w:tc>
        <w:tc>
          <w:tcPr>
            <w:tcW w:type="dxa" w:w="21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5"/>
              </w:rPr>
              <w:t>形成持续运营和版本发布机制</w:t>
            </w:r>
          </w:p>
        </w:tc>
      </w:tr>
    </w:tbl>
    <w:p>
      <w:pPr>
        <w:spacing w:after="0"/>
      </w:pPr>
    </w:p>
    <w:p>
      <w:pPr>
        <w:pStyle w:val="Heading2"/>
      </w:pPr>
      <w:r>
        <w:t>7.1 建议优先顺序</w:t>
      </w:r>
    </w:p>
    <w:p>
      <w:pPr>
        <w:pStyle w:val="ListNumber"/>
        <w:numPr>
          <w:ilvl w:val="0"/>
          <w:numId w:val="13"/>
        </w:numPr>
      </w:pPr>
      <w:r>
        <w:t>先做每用户 Runtime 和认证代理，解决“谁在使用、工作区是否隔离、3080 是否安全”的入口问题。</w:t>
      </w:r>
    </w:p>
    <w:p>
      <w:pPr>
        <w:pStyle w:val="ListNumber"/>
        <w:numPr>
          <w:ilvl w:val="0"/>
          <w:numId w:val="13"/>
        </w:numPr>
      </w:pPr>
      <w:r>
        <w:t>再做 MCP Gateway 和真实系统只读适配，解决“能看到什么数据、调用是否可审计”的核心边界。</w:t>
      </w:r>
    </w:p>
    <w:p>
      <w:pPr>
        <w:pStyle w:val="ListNumber"/>
        <w:numPr>
          <w:ilvl w:val="0"/>
          <w:numId w:val="13"/>
        </w:numPr>
      </w:pPr>
      <w:r>
        <w:t>以变更影响分析和系统巡检作为首批试点，只输出分析建议，不直接执行生产动作。</w:t>
      </w:r>
    </w:p>
    <w:p>
      <w:pPr>
        <w:pStyle w:val="ListNumber"/>
        <w:numPr>
          <w:ilvl w:val="0"/>
          <w:numId w:val="13"/>
        </w:numPr>
      </w:pPr>
      <w:r>
        <w:t>在真实数据上建立评测集和人工复核机制，再扩展告警根因、事件协同、发布验证和自动化处置。</w:t>
      </w:r>
    </w:p>
    <w:p>
      <w:pPr>
        <w:pStyle w:val="Heading2"/>
      </w:pPr>
      <w:r>
        <w:t>7.2 首批生产试点范围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试点项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建议范围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用户</w:t>
            </w:r>
          </w:p>
        </w:tc>
        <w:tc>
          <w:tcPr>
            <w:tcW w:type="dxa" w:w="74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系统、网络、技术团队各选择少量骨干用户；管理员和审计角色独立配置。</w:t>
            </w:r>
          </w:p>
        </w:tc>
      </w:tr>
      <w:tr>
        <w:tc>
          <w:tcPr>
            <w:tcW w:type="dxa" w:w="1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数据</w:t>
            </w:r>
          </w:p>
        </w:tc>
        <w:tc>
          <w:tcPr>
            <w:tcW w:type="dxa" w:w="74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CMDB、ITSM 变更、统一告警、指标平台的只读接口；先覆盖 1—2 个关键应用。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场景</w:t>
            </w:r>
          </w:p>
        </w:tc>
        <w:tc>
          <w:tcPr>
            <w:tcW w:type="dxa" w:w="74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应用发布影响分析、防火墙开通分析、应用系统日常巡检。</w:t>
            </w:r>
          </w:p>
        </w:tc>
      </w:tr>
      <w:tr>
        <w:tc>
          <w:tcPr>
            <w:tcW w:type="dxa" w:w="1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输出</w:t>
            </w:r>
          </w:p>
        </w:tc>
        <w:tc>
          <w:tcPr>
            <w:tcW w:type="dxa" w:w="74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风险/健康等级、事实证据、数据缺口、建议；结果回写流程但必须人工确认。</w:t>
            </w:r>
          </w:p>
        </w:tc>
      </w:tr>
      <w:tr>
        <w:tc>
          <w:tcPr>
            <w:tcW w:type="dxa" w:w="1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期限</w:t>
            </w:r>
          </w:p>
        </w:tc>
        <w:tc>
          <w:tcPr>
            <w:tcW w:type="dxa" w:w="74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8"/>
              </w:rPr>
              <w:t>按阶段退出条件推进，不以“功能页面完成”代替安全、质量和运维验收。</w:t>
            </w:r>
          </w:p>
        </w:tc>
      </w:tr>
    </w:tbl>
    <w:p>
      <w:pPr>
        <w:spacing w:after="0"/>
      </w:pPr>
    </w:p>
    <w:p>
      <w:pPr>
        <w:pStyle w:val="Heading1"/>
      </w:pPr>
      <w:r>
        <w:t>八、建议验收指标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500"/>
        <w:gridCol w:w="3900"/>
        <w:gridCol w:w="39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建议指标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功能完整性</w:t>
            </w:r>
          </w:p>
        </w:tc>
        <w:tc>
          <w:tcPr>
            <w:tcW w:type="dxa" w:w="3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三类首批场景端到端成功；结构化报告契约通过率 ≥ 99%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输入校验、工具调用、证据引用、报告输出和流程回写完整</w:t>
            </w:r>
          </w:p>
        </w:tc>
      </w:tr>
      <w:tr>
        <w:tc>
          <w:tcPr>
            <w:tcW w:type="dxa" w:w="15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分析质量</w:t>
            </w:r>
          </w:p>
        </w:tc>
        <w:tc>
          <w:tcPr>
            <w:tcW w:type="dxa" w:w="3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关键事实引用覆盖率 ≥ 95%；无证据高风险结论为 0</w:t>
            </w:r>
          </w:p>
        </w:tc>
        <w:tc>
          <w:tcPr>
            <w:tcW w:type="dxa" w:w="39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以人工标注评测集和真实案例抽检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权限安全</w:t>
            </w:r>
          </w:p>
        </w:tc>
        <w:tc>
          <w:tcPr>
            <w:tcW w:type="dxa" w:w="3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跨用户/跨部门/跨文档越权用例 100% 拒绝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服务端授权，覆盖 PG/ES/MinIO 和 MCP 工具</w:t>
            </w:r>
          </w:p>
        </w:tc>
      </w:tr>
      <w:tr>
        <w:tc>
          <w:tcPr>
            <w:tcW w:type="dxa" w:w="15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可靠性</w:t>
            </w:r>
          </w:p>
        </w:tc>
        <w:tc>
          <w:tcPr>
            <w:tcW w:type="dxa" w:w="3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任务重复执行率为 0；失败可定位率 ≥ 95%</w:t>
            </w:r>
          </w:p>
        </w:tc>
        <w:tc>
          <w:tcPr>
            <w:tcW w:type="dxa" w:w="39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验证幂等、重启恢复、超时、取消和审计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性能容量</w:t>
            </w:r>
          </w:p>
        </w:tc>
        <w:tc>
          <w:tcPr>
            <w:tcW w:type="dxa" w:w="3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交互 Runtime 冷启动、任务响应和并发指标达到试点 SLA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数值需结合私有模型性能与用户规模压测后确定</w:t>
            </w:r>
          </w:p>
        </w:tc>
      </w:tr>
      <w:tr>
        <w:tc>
          <w:tcPr>
            <w:tcW w:type="dxa" w:w="15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可运维性</w:t>
            </w:r>
          </w:p>
        </w:tc>
        <w:tc>
          <w:tcPr>
            <w:tcW w:type="dxa" w:w="39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核心组件具备监控、告警、备份、恢复、灰度和回滚手册</w:t>
            </w:r>
          </w:p>
        </w:tc>
        <w:tc>
          <w:tcPr>
            <w:tcW w:type="dxa" w:w="39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至少完成一次恢复演练和一次版本回滚演练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用户效果</w:t>
            </w:r>
          </w:p>
        </w:tc>
        <w:tc>
          <w:tcPr>
            <w:tcW w:type="dxa" w:w="39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试点场景平均调查时间显著下降，报告可用性获得业务确认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与现有人工流程建立基线后评估</w:t>
            </w:r>
          </w:p>
        </w:tc>
      </w:tr>
    </w:tbl>
    <w:p>
      <w:pPr>
        <w:spacing w:after="0"/>
      </w:pPr>
    </w:p>
    <w:p>
      <w:pPr>
        <w:pStyle w:val="BodyText"/>
      </w:pPr>
      <w:r>
        <w:t>指标中的具体 SLA 和提升比例应在接入私有模型、确定用户规模和真实接口后通过压测与人工基线共同确定，避免在原型阶段承诺缺乏依据的生产数值。</w:t>
      </w:r>
    </w:p>
    <w:p>
      <w:pPr>
        <w:pStyle w:val="Heading1"/>
      </w:pPr>
      <w:r>
        <w:t>九、主要风险与应对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700"/>
        <w:gridCol w:w="3100"/>
        <w:gridCol w:w="45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应对措施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上游版本仍处 RC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插件 API、配置格式或 Web 行为可能变化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版本锁定；兼容性测试；生产镜像不可跟随移动分支；保留回滚镜像</w:t>
            </w:r>
          </w:p>
        </w:tc>
      </w:tr>
      <w:tr>
        <w:tc>
          <w:tcPr>
            <w:tcW w:type="dxa" w:w="17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模型结论不稳定</w:t>
            </w:r>
          </w:p>
        </w:tc>
        <w:tc>
          <w:tcPr>
            <w:tcW w:type="dxa" w:w="31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同一问题路径和表达存在波动</w:t>
            </w:r>
          </w:p>
        </w:tc>
        <w:tc>
          <w:tcPr>
            <w:tcW w:type="dxa" w:w="45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结构化输出契约、证据约束、评测集、低温度、人工复核和停止条件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生产数据质量不足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CMDB 关系缺失、监控覆盖不完整导致误判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展示数据缺口；数据新鲜度和覆盖率指标；不把空结果解释为正常</w:t>
            </w:r>
          </w:p>
        </w:tc>
      </w:tr>
      <w:tr>
        <w:tc>
          <w:tcPr>
            <w:tcW w:type="dxa" w:w="17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身份与工具越权</w:t>
            </w:r>
          </w:p>
        </w:tc>
        <w:tc>
          <w:tcPr>
            <w:tcW w:type="dxa" w:w="31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模型或用户访问超出职责的数据/操作</w:t>
            </w:r>
          </w:p>
        </w:tc>
        <w:tc>
          <w:tcPr>
            <w:tcW w:type="dxa" w:w="45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MCP Gateway、工作负载身份、服务端 ACL、最小工具集和审计</w:t>
            </w:r>
          </w:p>
        </w:tc>
      </w:tr>
      <w:tr>
        <w:tc>
          <w:tcPr>
            <w:tcW w:type="dxa" w:w="17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资源成本失控</w:t>
            </w:r>
          </w:p>
        </w:tc>
        <w:tc>
          <w:tcPr>
            <w:tcW w:type="dxa" w:w="31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每用户 Runtime 和无效工具调用占用资源</w:t>
            </w:r>
          </w:p>
        </w:tc>
        <w:tc>
          <w:tcPr>
            <w:tcW w:type="dxa" w:w="45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配额、闲置停止、调用复用、汇总优先、重试上限、模型和工具指标</w:t>
            </w:r>
          </w:p>
        </w:tc>
      </w:tr>
      <w:tr>
        <w:tc>
          <w:tcPr>
            <w:tcW w:type="dxa" w:w="17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自动化范围过大</w:t>
            </w:r>
          </w:p>
        </w:tc>
        <w:tc>
          <w:tcPr>
            <w:tcW w:type="dxa" w:w="31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分析能力被误用为直接生产操作</w:t>
            </w:r>
          </w:p>
        </w:tc>
        <w:tc>
          <w:tcPr>
            <w:tcW w:type="dxa" w:w="45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6"/>
              </w:rPr>
              <w:t>首期只读；写操作经 ITSM/自动化审批；高风险动作双人复核</w:t>
            </w:r>
          </w:p>
        </w:tc>
      </w:tr>
    </w:tbl>
    <w:p>
      <w:pPr>
        <w:spacing w:after="0"/>
      </w:pPr>
    </w:p>
    <w:p>
      <w:pPr>
        <w:pStyle w:val="Heading1"/>
      </w:pPr>
      <w:r>
        <w:t>十、下一步建议与需协调事项</w:t>
      </w:r>
    </w:p>
    <w:p>
      <w:pPr>
        <w:shd w:fill="EDF7ED"/>
        <w:spacing w:before="80" w:after="160" w:line="259" w:lineRule="auto"/>
        <w:ind w:left="144" w:right="144"/>
      </w:pPr>
      <w:r>
        <w:rPr>
          <w:b/>
          <w:color w:val="2E7D32"/>
          <w:sz w:val="22"/>
        </w:rPr>
        <w:t>建议决策</w:t>
        <w:br/>
      </w:r>
      <w:r>
        <w:rPr>
          <w:color w:val="263238"/>
          <w:sz w:val="20"/>
        </w:rPr>
        <w:t>同意以“变更影响分析 + 应用系统巡检”为首批生产试点，下一阶段优先建设每用户 Runtime、MCP Gateway 与真实只读数据适配，不直接推进生产自动执行。</w:t>
      </w:r>
    </w:p>
    <w:p>
      <w:pPr>
        <w:pStyle w:val="ListNumber"/>
        <w:numPr>
          <w:ilvl w:val="0"/>
          <w:numId w:val="14"/>
        </w:numPr>
      </w:pPr>
      <w:r>
        <w:t>明确试点牵头团队、场景业务负责人、平台负责人和安全审计负责人。</w:t>
      </w:r>
    </w:p>
    <w:p>
      <w:pPr>
        <w:pStyle w:val="ListNumber"/>
        <w:numPr>
          <w:ilvl w:val="0"/>
          <w:numId w:val="14"/>
        </w:numPr>
      </w:pPr>
      <w:r>
        <w:t>协调 CMDB、ITSM、统一监控/告警平台提供测试环境、接口文档、只读账号和数据口径。</w:t>
      </w:r>
    </w:p>
    <w:p>
      <w:pPr>
        <w:pStyle w:val="ListNumber"/>
        <w:numPr>
          <w:ilvl w:val="0"/>
          <w:numId w:val="14"/>
        </w:numPr>
      </w:pPr>
      <w:r>
        <w:t>确认私有模型服务地址、并发配额、上下文窗口和运行 SLA，形成压测前提。</w:t>
      </w:r>
    </w:p>
    <w:p>
      <w:pPr>
        <w:pStyle w:val="ListNumber"/>
        <w:numPr>
          <w:ilvl w:val="0"/>
          <w:numId w:val="14"/>
        </w:numPr>
      </w:pPr>
      <w:r>
        <w:t>确定试点用户范围、部门数据边界、报告回写位置和人工确认流程。</w:t>
      </w:r>
    </w:p>
    <w:p>
      <w:pPr>
        <w:pStyle w:val="ListNumber"/>
        <w:numPr>
          <w:ilvl w:val="0"/>
          <w:numId w:val="14"/>
        </w:numPr>
      </w:pPr>
      <w:r>
        <w:t>将安全评审、数据权限、备份恢复、应急处置和上线验收纳入项目计划。</w:t>
      </w:r>
    </w:p>
    <w:p>
      <w:pPr>
        <w:pStyle w:val="Heading2"/>
      </w:pPr>
      <w:r>
        <w:t>结语</w:t>
      </w:r>
    </w:p>
    <w:p>
      <w:pPr>
        <w:pStyle w:val="BodyText"/>
      </w:pPr>
      <w:r>
        <w:t>本阶段已经从“提示词调用模型”向“可执行、可发现、可追溯的运维能力工程”迈出关键一步。后续工作的重点不是继续增加页面或提示词，而是把已验证的 Agent 能力放入可信身份、数据权限、运行隔离、生产流程和持续评测之中。完成这些控制面建设后，DSH 才能既作为每位运维人员的智能工作台，也作为现有运维平台可稳定调用的分析能力。</w:t>
      </w:r>
    </w:p>
    <w:p>
      <w:pPr>
        <w:pStyle w:val="Heading1"/>
        <w:pageBreakBefore/>
      </w:pPr>
      <w:r>
        <w:t>附录 A：当前组件与端口基线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200"/>
        <w:gridCol w:w="1800"/>
        <w:gridCol w:w="4360"/>
      </w:tblGrid>
      <w:tr>
        <w:trPr>
          <w:cantSplit/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端口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当前状态/说明</w:t>
            </w:r>
          </w:p>
        </w:tc>
      </w:tr>
      <w:tr>
        <w:tc>
          <w:tcPr>
            <w:tcW w:type="dxa" w:w="32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BankOps Portal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8080</w:t>
            </w:r>
          </w:p>
        </w:tc>
        <w:tc>
          <w:tcPr>
            <w:tcW w:type="dxa" w:w="43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用户入口、身份网关和反向代理</w:t>
            </w:r>
          </w:p>
        </w:tc>
      </w:tr>
      <w:tr>
        <w:tc>
          <w:tcPr>
            <w:tcW w:type="dxa" w:w="32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DSH Web</w:t>
            </w:r>
          </w:p>
        </w:tc>
        <w:tc>
          <w:tcPr>
            <w:tcW w:type="dxa" w:w="18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3080</w:t>
            </w:r>
          </w:p>
        </w:tc>
        <w:tc>
          <w:tcPr>
            <w:tcW w:type="dxa" w:w="43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当前共享单实例，仅本地验证；生产禁止直连</w:t>
            </w:r>
          </w:p>
        </w:tc>
      </w:tr>
      <w:tr>
        <w:tc>
          <w:tcPr>
            <w:tcW w:type="dxa" w:w="32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Agent Control API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8090</w:t>
            </w:r>
          </w:p>
        </w:tc>
        <w:tc>
          <w:tcPr>
            <w:tcW w:type="dxa" w:w="43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固定业务 API、异步任务和 Skill Studio 后端</w:t>
            </w:r>
          </w:p>
        </w:tc>
      </w:tr>
      <w:tr>
        <w:tc>
          <w:tcPr>
            <w:tcW w:type="dxa" w:w="32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Identity Service</w:t>
            </w:r>
          </w:p>
        </w:tc>
        <w:tc>
          <w:tcPr>
            <w:tcW w:type="dxa" w:w="18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8960</w:t>
            </w:r>
          </w:p>
        </w:tc>
        <w:tc>
          <w:tcPr>
            <w:tcW w:type="dxa" w:w="43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本地认证、组织角色、会话和审计</w:t>
            </w:r>
          </w:p>
        </w:tc>
      </w:tr>
      <w:tr>
        <w:tc>
          <w:tcPr>
            <w:tcW w:type="dxa" w:w="32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ChangeInfo / CMDB / AlertInfo / PerfInfo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8941—8944</w:t>
            </w:r>
          </w:p>
        </w:tc>
        <w:tc>
          <w:tcPr>
            <w:tcW w:type="dxa" w:w="43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四个独立领域 MCP</w:t>
            </w:r>
          </w:p>
        </w:tc>
      </w:tr>
      <w:tr>
        <w:tc>
          <w:tcPr>
            <w:tcW w:type="dxa" w:w="32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File / Knowledge / Memory</w:t>
            </w:r>
          </w:p>
        </w:tc>
        <w:tc>
          <w:tcPr>
            <w:tcW w:type="dxa" w:w="18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8951 / 8952 / 8953</w:t>
            </w:r>
          </w:p>
        </w:tc>
        <w:tc>
          <w:tcPr>
            <w:tcW w:type="dxa" w:w="43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文件、知识与上下文记忆能力</w:t>
            </w:r>
          </w:p>
        </w:tc>
      </w:tr>
      <w:tr>
        <w:tc>
          <w:tcPr>
            <w:tcW w:type="dxa" w:w="32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Knowledge REST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9052</w:t>
            </w:r>
          </w:p>
        </w:tc>
        <w:tc>
          <w:tcPr>
            <w:tcW w:type="dxa" w:w="43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Portal 检索和内部索引接口</w:t>
            </w:r>
          </w:p>
        </w:tc>
      </w:tr>
      <w:tr>
        <w:tc>
          <w:tcPr>
            <w:tcW w:type="dxa" w:w="32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PostgreSQL / Elasticsearch / MinIO</w:t>
            </w:r>
          </w:p>
        </w:tc>
        <w:tc>
          <w:tcPr>
            <w:tcW w:type="dxa" w:w="18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5432 / 9200 / 9000</w:t>
            </w:r>
          </w:p>
        </w:tc>
        <w:tc>
          <w:tcPr>
            <w:tcW w:type="dxa" w:w="43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共享数据平台</w:t>
            </w:r>
          </w:p>
        </w:tc>
      </w:tr>
      <w:tr>
        <w:tc>
          <w:tcPr>
            <w:tcW w:type="dxa" w:w="32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Playwright / Filesystem / Git MCP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8931 / 8932 / 8933</w:t>
            </w:r>
          </w:p>
        </w:tc>
        <w:tc>
          <w:tcPr>
            <w:tcW w:type="dxa" w:w="43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通用工具；生产须经 Gateway 和策略控制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B：实现状态口径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200"/>
        <w:gridCol w:w="1800"/>
        <w:gridCol w:w="4360"/>
      </w:tblGrid>
      <w:tr>
        <w:trPr>
          <w:cantSplit/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口径</w:t>
            </w:r>
          </w:p>
        </w:tc>
      </w:tr>
      <w:tr>
        <w:tc>
          <w:tcPr>
            <w:tcW w:type="dxa" w:w="32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DSH Docker、Profile、插件加载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已实现并验证</w:t>
            </w:r>
          </w:p>
        </w:tc>
        <w:tc>
          <w:tcPr>
            <w:tcW w:type="dxa" w:w="43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本地单机环境</w:t>
            </w:r>
          </w:p>
        </w:tc>
      </w:tr>
      <w:tr>
        <w:tc>
          <w:tcPr>
            <w:tcW w:type="dxa" w:w="32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变更影响分析、系统巡检</w:t>
            </w:r>
          </w:p>
        </w:tc>
        <w:tc>
          <w:tcPr>
            <w:tcW w:type="dxa" w:w="18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已实现并验证</w:t>
            </w:r>
          </w:p>
        </w:tc>
        <w:tc>
          <w:tcPr>
            <w:tcW w:type="dxa" w:w="43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基于模拟 ES 场景数据</w:t>
            </w:r>
          </w:p>
        </w:tc>
      </w:tr>
      <w:tr>
        <w:tc>
          <w:tcPr>
            <w:tcW w:type="dxa" w:w="32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Portal、Identity、Agent API、Skill Studio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已实现并验证</w:t>
            </w:r>
          </w:p>
        </w:tc>
        <w:tc>
          <w:tcPr>
            <w:tcW w:type="dxa" w:w="43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本地账号与基础 RBAC</w:t>
            </w:r>
          </w:p>
        </w:tc>
      </w:tr>
      <w:tr>
        <w:tc>
          <w:tcPr>
            <w:tcW w:type="dxa" w:w="32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文件、知识、记忆</w:t>
            </w:r>
          </w:p>
        </w:tc>
        <w:tc>
          <w:tcPr>
            <w:tcW w:type="dxa" w:w="18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已实现并验证</w:t>
            </w:r>
          </w:p>
        </w:tc>
        <w:tc>
          <w:tcPr>
            <w:tcW w:type="dxa" w:w="43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本地共享数据平台；生产身份链路待补齐</w:t>
            </w:r>
          </w:p>
        </w:tc>
      </w:tr>
      <w:tr>
        <w:tc>
          <w:tcPr>
            <w:tcW w:type="dxa" w:w="32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每用户 Runtime、DSH Gateway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规划中</w:t>
            </w:r>
          </w:p>
        </w:tc>
        <w:tc>
          <w:tcPr>
            <w:tcW w:type="dxa" w:w="43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下一阶段优先建设</w:t>
            </w:r>
          </w:p>
        </w:tc>
      </w:tr>
      <w:tr>
        <w:tc>
          <w:tcPr>
            <w:tcW w:type="dxa" w:w="32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MCP Gateway、统一策略与 ACL</w:t>
            </w:r>
          </w:p>
        </w:tc>
        <w:tc>
          <w:tcPr>
            <w:tcW w:type="dxa" w:w="18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规划中</w:t>
            </w:r>
          </w:p>
        </w:tc>
        <w:tc>
          <w:tcPr>
            <w:tcW w:type="dxa" w:w="43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生产必备控制面</w:t>
            </w:r>
          </w:p>
        </w:tc>
      </w:tr>
      <w:tr>
        <w:tc>
          <w:tcPr>
            <w:tcW w:type="dxa" w:w="32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真实生产系统适配</w:t>
            </w:r>
          </w:p>
        </w:tc>
        <w:tc>
          <w:tcPr>
            <w:tcW w:type="dxa" w:w="180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规划中</w:t>
            </w:r>
          </w:p>
        </w:tc>
        <w:tc>
          <w:tcPr>
            <w:tcW w:type="dxa" w:w="4360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需业务系统协同和只读接口</w:t>
            </w:r>
          </w:p>
        </w:tc>
      </w:tr>
      <w:tr>
        <w:tc>
          <w:tcPr>
            <w:tcW w:type="dxa" w:w="32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Kubernetes、高可用、灾备</w:t>
            </w:r>
          </w:p>
        </w:tc>
        <w:tc>
          <w:tcPr>
            <w:tcW w:type="dxa" w:w="180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规划中</w:t>
            </w:r>
          </w:p>
        </w:tc>
        <w:tc>
          <w:tcPr>
            <w:tcW w:type="dxa" w:w="4360"/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Hiragino Sans GB" w:hAnsi="Hiragino Sans GB" w:eastAsia="Hiragino Sans GB"/>
                <w:b w:val="0"/>
                <w:color w:val="263238"/>
                <w:sz w:val="17"/>
              </w:rPr>
              <w:t>生产扩展阶段</w:t>
            </w:r>
          </w:p>
        </w:tc>
      </w:tr>
    </w:tbl>
    <w:p>
      <w:pPr>
        <w:spacing w:after="0"/>
      </w:pPr>
    </w:p>
    <w:p>
      <w:pPr>
        <w:pStyle w:val="BodyText"/>
      </w:pPr>
      <w:r>
        <w:t>编制依据：当前代码仓库、运行配置、模块测试、MCP 协议冒烟结果和本地 Docker 状态。文档中的生产目标、验收指标和路线图属于建设建议，需在立项、架构和安全评审后确认。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7"/>
      </w:rPr>
      <w:t xml:space="preserve">第 </w:t>
    </w:r>
    <w:fldSimple w:instr="PAGE"/>
    <w:r>
      <w:rPr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color w:val="5B6573"/>
        <w:sz w:val="17"/>
      </w:rPr>
      <w:t>BANKOPS AI AGENT  ·  建设方案</w:t>
    </w:r>
    <w:r>
      <w:tab/>
    </w:r>
    <w:r>
      <w:rPr>
        <w:color w:val="5B6573"/>
        <w:sz w:val="17"/>
      </w:rPr>
      <w:t>内部工作材料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 GB" w:hAnsi="Hiragino Sans GB" w:eastAsia="Hiragino Sans GB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Hiragino Sans GB" w:hAnsi="Hiragino Sans GB" w:eastAsia="Hiragino Sans GB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Hiragino Sans GB" w:hAnsi="Hiragino Sans GB" w:eastAsia="Hiragino Sans GB"/>
      <w:color w:val="263238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Hiragino Sans GB" w:hAnsi="Hiragino Sans GB" w:eastAsia="Hiragino Sans G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64" w:lineRule="auto"/>
      <w:ind w:left="1080" w:hanging="360"/>
      <w:contextualSpacing/>
    </w:pPr>
    <w:rPr>
      <w:rFonts w:ascii="Hiragino Sans GB" w:hAnsi="Hiragino Sans GB" w:eastAsia="Hiragino Sans GB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Hiragino Sans GB" w:hAnsi="Hiragino Sans GB" w:eastAsia="Hiragino Sans G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BankOps">
    <w:name w:val="Caption BankOps"/>
    <w:pPr>
      <w:keepNext/>
      <w:spacing w:before="60" w:after="160"/>
    </w:pPr>
    <w:rPr>
      <w:rFonts w:ascii="Hiragino Sans GB" w:hAnsi="Hiragino Sans GB" w:eastAsia="Hiragino Sans GB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DeepSeek Harness 的运维智能体平台建设方案</dc:title>
  <dc:subject>阶段成果、总体架构与生产落地规划</dc:subject>
  <dc:creator>BankOps AI Agent 项目组</dc:creator>
  <cp:keywords>DeepSeek Harness, DSH, 运维智能体, MCP, Skill, 建设方案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