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4332"/>
          <w:sz w:val="44"/>
        </w:rPr>
        <w:t>责令改正违法行为决定书</w:t>
      </w:r>
    </w:p>
    <w:p>
      <w:pPr>
        <w:jc w:val="center"/>
      </w:pPr>
      <w:r>
        <w:rPr>
          <w:color w:val="666666"/>
          <w:sz w:val="24"/>
        </w:rPr>
        <w:t>济环责改字〔2026〕第0002号</w:t>
      </w:r>
    </w:p>
    <w:p/>
    <w:p>
      <w:pPr>
        <w:spacing w:after="120"/>
      </w:pPr>
      <w:r>
        <w:rPr>
          <w:b w:val="0"/>
          <w:sz w:val="22"/>
        </w:rPr>
        <w:t>当事人：测试企业</w:t>
      </w:r>
    </w:p>
    <w:p>
      <w:pPr>
        <w:spacing w:after="120"/>
      </w:pPr>
      <w:r>
        <w:rPr>
          <w:b w:val="0"/>
          <w:sz w:val="22"/>
        </w:rPr>
        <w:t>案号：20260721-0002</w:t>
      </w:r>
    </w:p>
    <w:p>
      <w:pPr>
        <w:pStyle w:val="Heading2"/>
      </w:pPr>
      <w:r>
        <w:rPr>
          <w:color w:val="1B4332"/>
        </w:rPr>
        <w:t>一、违法事实</w:t>
      </w:r>
    </w:p>
    <w:p>
      <w:pPr>
        <w:spacing w:after="120"/>
      </w:pPr>
      <w:r>
        <w:rPr>
          <w:b w:val="0"/>
          <w:sz w:val="22"/>
        </w:rPr>
        <w:t>测试</w:t>
      </w:r>
    </w:p>
    <w:p>
      <w:pPr>
        <w:pStyle w:val="Heading2"/>
      </w:pPr>
      <w:r>
        <w:rPr>
          <w:color w:val="1B4332"/>
        </w:rPr>
        <w:t>二、责令改正内容</w:t>
      </w:r>
    </w:p>
    <w:p>
      <w:pPr>
        <w:spacing w:after="120"/>
      </w:pPr>
      <w:r>
        <w:rPr>
          <w:b w:val="0"/>
          <w:sz w:val="22"/>
        </w:rPr>
        <w:t>改正</w:t>
      </w:r>
    </w:p>
    <w:p>
      <w:pPr>
        <w:pStyle w:val="Heading2"/>
      </w:pPr>
      <w:r>
        <w:rPr>
          <w:color w:val="1B4332"/>
        </w:rPr>
        <w:t>三、改正期限</w:t>
      </w:r>
    </w:p>
    <w:p>
      <w:pPr>
        <w:spacing w:after="120"/>
      </w:pPr>
      <w:r>
        <w:rPr>
          <w:b w:val="0"/>
          <w:sz w:val="22"/>
        </w:rPr>
        <w:t>限于 15日 前完成整改。如逾期未改正，我局将依法启动按日连续处罚程序或采取进一步的行政强制措施。</w:t>
      </w:r>
    </w:p>
    <w:p>
      <w:pPr>
        <w:pStyle w:val="Heading2"/>
      </w:pPr>
      <w:r>
        <w:rPr>
          <w:color w:val="1B4332"/>
        </w:rPr>
        <w:t>四、后续处理</w:t>
      </w:r>
    </w:p>
    <w:p>
      <w:pPr>
        <w:spacing w:after="120"/>
      </w:pPr>
      <w:r>
        <w:rPr>
          <w:b w:val="0"/>
          <w:sz w:val="22"/>
        </w:rPr>
        <w:t>整改完成后，你单位应向我局提交整改报告及相关证明材料。我局将依法进行核查。</w:t>
      </w:r>
    </w:p>
    <w:p/>
    <w:p>
      <w:pPr>
        <w:jc w:val="right"/>
      </w:pPr>
      <w:r>
        <w:t>济南市生态环境局（印章）</w:t>
      </w:r>
    </w:p>
    <w:p/>
    <w:p>
      <w:pPr>
        <w:jc w:val="right"/>
      </w:pPr>
      <w:r>
        <w:t>2026年07月21日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