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济环责改字〔2026〕第0001号</w:t>
      </w:r>
    </w:p>
    <w:p/>
    <w:p>
      <w:pPr>
        <w:spacing w:after="120"/>
      </w:pPr>
      <w:r>
        <w:rPr>
          <w:b w:val="0"/>
          <w:sz w:val="22"/>
        </w:rPr>
        <w:t>当事人：鲁药东营制药有限公司</w:t>
      </w:r>
    </w:p>
    <w:p>
      <w:pPr>
        <w:spacing w:after="120"/>
      </w:pPr>
      <w:r>
        <w:rPr>
          <w:b w:val="0"/>
          <w:sz w:val="22"/>
        </w:rPr>
        <w:t>案号：20260902-0001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现场检查发现：鲁药东营制药有限公司存在以下问题：1. 私设暗管（《水污染防治法》第83条）（测试异常）。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立即改正上述行为，并于15日内将改正情况书面报告我局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2026年09月17日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2026年09月02日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