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鲁药东营制药有限公司 环保运行报告</w:t>
      </w:r>
    </w:p>
    <w:p>
      <w:r>
        <w:t>报告编号：RPT-ENT-20260903082402　生成日期：2026年09月03日</w:t>
      </w:r>
    </w:p>
    <w:p>
      <w:r>
        <w:t>一、环保设施运行台账汇总</w:t>
      </w:r>
    </w:p>
    <w:p>
      <w:r>
        <w:t xml:space="preserve">  台账记录共 8 条（最近100条窗口）。</w:t>
      </w:r>
    </w:p>
    <w:p>
      <w:r>
        <w:t xml:space="preserve">  · 设备运行：1 条</w:t>
      </w:r>
    </w:p>
    <w:p>
      <w:r>
        <w:t xml:space="preserve">    - 2026-09-03 08:08 设备状态·风机 停机</w:t>
      </w:r>
    </w:p>
    <w:p>
      <w:r>
        <w:t xml:space="preserve">  · 排放监测：3 条</w:t>
      </w:r>
    </w:p>
    <w:p>
      <w:r>
        <w:t xml:space="preserve">    - 2026-09-03 08:08 监测数据·COD 260.0mg/L</w:t>
      </w:r>
    </w:p>
    <w:p>
      <w:r>
        <w:t xml:space="preserve">    - 2026-09-03 07:21 监测数据·氨氮 0.8mg/L</w:t>
      </w:r>
    </w:p>
    <w:p>
      <w:r>
        <w:t xml:space="preserve">    - 2026-09-03 07:20 监测数据·COD 38.0mg/L</w:t>
      </w:r>
    </w:p>
    <w:p>
      <w:r>
        <w:t xml:space="preserve">  · 治污设施运行：3 条</w:t>
      </w:r>
    </w:p>
    <w:p>
      <w:r>
        <w:t xml:space="preserve">    - 2026-09-03 07:21 药剂投加·次氯酸钠 30.0公斤</w:t>
      </w:r>
    </w:p>
    <w:p>
      <w:r>
        <w:t xml:space="preserve">    - 2026-09-03 07:20 水量·进水 950.0m³</w:t>
      </w:r>
    </w:p>
    <w:p>
      <w:r>
        <w:t xml:space="preserve">    - 2026-09-03 07:20 药剂投加·PAC 120.0公斤</w:t>
      </w:r>
    </w:p>
    <w:p>
      <w:r>
        <w:t xml:space="preserve">  · 固废管理：1 条</w:t>
      </w:r>
    </w:p>
    <w:p>
      <w:r>
        <w:t xml:space="preserve">    - 2026-09-03 07:20 危废/固废·废活性炭 2.0吨</w:t>
      </w:r>
    </w:p>
    <w:p>
      <w:r>
        <w:t>二、监测数据汇总与达标评估</w:t>
      </w:r>
    </w:p>
    <w:p>
      <w:r>
        <w:t xml:space="preserve">  · 2026-09-03 08:08 COD 260.0mg/L（限值 100.0mg/L，✗ 超标 160.0%）</w:t>
      </w:r>
    </w:p>
    <w:p>
      <w:r>
        <w:t xml:space="preserve">  · 2026-09-03 07:21 氨氮 0.8mg/L</w:t>
      </w:r>
    </w:p>
    <w:p>
      <w:r>
        <w:t xml:space="preserve">  · 2026-09-03 07:20 COD 38.0mg/L（限值 100.0mg/L，✓ 达标）</w:t>
      </w:r>
    </w:p>
    <w:p>
      <w:r>
        <w:t>三、合规风险评估</w:t>
      </w:r>
    </w:p>
    <w:p>
      <w:r>
        <w:t xml:space="preserve">  发现 3 项风险点：</w:t>
      </w:r>
    </w:p>
    <w:p>
      <w:r>
        <w:t xml:space="preserve">  · 案件：鲁药东营制药有限公司·私设暗管（《水污染防治法·水污染防治检（高风险）</w:t>
      </w:r>
    </w:p>
    <w:p>
      <w:r>
        <w:t xml:space="preserve">  · 案件：鲁药东营制药有限公司·私设暗管·水污染防治检查（高风险）</w:t>
      </w:r>
    </w:p>
    <w:p>
      <w:r>
        <w:t xml:space="preserve">  · 案件：鲁药东营制药有限公司·私设暗管·水污染防治检查（高风险）</w:t>
      </w:r>
    </w:p>
    <w:p>
      <w:r>
        <w:t>四、整改建议与管理提升</w:t>
      </w:r>
    </w:p>
    <w:p>
      <w:r>
        <w:t xml:space="preserve">  · 台账保存不少于 5 年（《排污许可管理条例》第21条），纸质+电子双轨</w:t>
      </w:r>
    </w:p>
    <w:p>
      <w:r>
        <w:t xml:space="preserve">  · 每季度对照排污许可证执行报告要求自查一次（12 项内容）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