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济环责改字〔2026〕第0003号</w:t>
      </w:r>
    </w:p>
    <w:p/>
    <w:p>
      <w:pPr>
        <w:spacing w:after="120"/>
      </w:pPr>
      <w:r>
        <w:rPr>
          <w:b w:val="0"/>
          <w:sz w:val="22"/>
        </w:rPr>
        <w:t>当事人：测试化工厂</w:t>
      </w:r>
    </w:p>
    <w:p>
      <w:pPr>
        <w:spacing w:after="120"/>
      </w:pPr>
      <w:r>
        <w:rPr>
          <w:b w:val="0"/>
          <w:sz w:val="22"/>
        </w:rPr>
        <w:t>案号：20260831-0003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现场检查发现：测试化工厂存在以下问题：1. 私设暗管（《水污染防治法》第83条）（现场发现暗管直排雨水井）。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立即改正上述行为，并于15日内将改正情况书面报告我局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2026年09月15日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