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济环责改字〔2026〕第0001号</w:t>
      </w:r>
    </w:p>
    <w:p/>
    <w:p>
      <w:pPr>
        <w:spacing w:after="120"/>
      </w:pPr>
      <w:r>
        <w:rPr>
          <w:b w:val="0"/>
          <w:sz w:val="22"/>
        </w:rPr>
        <w:t>当事人：某化工</w:t>
      </w:r>
    </w:p>
    <w:p>
      <w:pPr>
        <w:spacing w:after="120"/>
      </w:pPr>
      <w:r>
        <w:rPr>
          <w:b w:val="0"/>
          <w:sz w:val="22"/>
        </w:rPr>
        <w:t>案号：20260901-0001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现场检查发现：某化工存在以下问题：1. 私设暗管（厂区西侧发现暗管直排）；2. 超标排放废水（COD 280mg/L）。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立即改正上述行为，并于15日内将改正情况书面报告我局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2026年09月16日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2026年09月01日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