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/>
          <w:b/>
          <w:color w:val="0F8B8D"/>
          <w:sz w:val="24"/>
        </w:rPr>
        <w:t>Weather Cup 2026 Report</w:t>
      </w:r>
    </w:p>
    <w:p>
      <w:pPr>
        <w:pStyle w:val="Title"/>
        <w:spacing w:after="80"/>
        <w:jc w:val="center"/>
      </w:pPr>
      <w:r>
        <w:rPr>
          <w:rFonts w:ascii="Calibri" w:hAnsi="Calibri"/>
          <w:b/>
          <w:color w:val="204A78"/>
          <w:sz w:val="56"/>
        </w:rPr>
        <w:t>Gruppenphase: Der erste Weather-Cup-Report</w:t>
      </w:r>
    </w:p>
    <w:p>
      <w:pPr>
        <w:spacing w:after="360"/>
        <w:jc w:val="center"/>
      </w:pPr>
      <w:r>
        <w:rPr>
          <w:rFonts w:ascii="Calibri" w:hAnsi="Calibri"/>
          <w:b w:val="0"/>
          <w:color w:val="61707A"/>
          <w:sz w:val="28"/>
        </w:rPr>
        <w:t>Wissenschaftlich belastbare Zwischenbilanz nach 72 Gruppenspielen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168"/>
      </w:tblGrid>
      <w:tr>
        <w:tc>
          <w:tcPr>
            <w:tcW w:type="dxa" w:w="312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40"/>
            </w:pPr>
            <w:r>
              <w:rPr>
                <w:b/>
                <w:sz w:val="20"/>
              </w:rPr>
              <w:t>Datenstand</w:t>
            </w:r>
          </w:p>
        </w:tc>
        <w:tc>
          <w:tcPr>
            <w:tcW w:type="dxa" w:w="312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40"/>
            </w:pPr>
            <w:r>
              <w:rPr>
                <w:b/>
                <w:sz w:val="20"/>
              </w:rPr>
              <w:t>Turnier-Scope</w:t>
            </w:r>
          </w:p>
        </w:tc>
        <w:tc>
          <w:tcPr>
            <w:tcW w:type="dxa" w:w="312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40"/>
            </w:pPr>
            <w:r>
              <w:rPr>
                <w:b/>
                <w:sz w:val="20"/>
              </w:rPr>
              <w:t>Exportquelle</w:t>
            </w:r>
          </w:p>
        </w:tc>
      </w:tr>
      <w:tr>
        <w:tc>
          <w:tcPr>
            <w:tcW w:type="dxa" w:w="3120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0"/>
            </w:pPr>
            <w:r>
              <w:rPr>
                <w:sz w:val="21"/>
              </w:rPr>
              <w:t>2026-06-29T06:58:22</w:t>
            </w:r>
          </w:p>
        </w:tc>
        <w:tc>
          <w:tcPr>
            <w:tcW w:type="dxa" w:w="3120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0"/>
            </w:pPr>
            <w:r>
              <w:rPr>
                <w:sz w:val="21"/>
              </w:rPr>
              <w:t>Gruppenphase</w:t>
            </w:r>
          </w:p>
        </w:tc>
        <w:tc>
          <w:tcPr>
            <w:tcW w:type="dxa" w:w="3120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spacing w:after="0"/>
            </w:pPr>
            <w:r>
              <w:rPr>
                <w:sz w:val="21"/>
              </w:rPr>
              <w:t>Supabase/PostgreSQL static export</w:t>
            </w:r>
          </w:p>
        </w:tc>
      </w:tr>
    </w:tbl>
    <w:p>
      <w:pPr>
        <w:spacing w:before="360" w:after="0"/>
      </w:pPr>
      <w:r>
        <w:rPr>
          <w:rFonts w:ascii="Calibri" w:hAnsi="Calibri"/>
          <w:b/>
          <w:color w:val="172026"/>
          <w:sz w:val="24"/>
        </w:rPr>
        <w:t>72 Spiele sind im Gruppenphasen-Report verarbeitet. 10 von 44 klaren Wetterkanten deckten sich mit dem Siegerbild; die Trefferquote liegt bei 23%.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Erster wissenschaftlicher Zwischenstand zum Weather Cup 2026 nach Abschluss der Gruppenphase.</w:t>
      </w:r>
    </w:p>
    <w:p>
      <w:pPr>
        <w:pStyle w:val="Heading1"/>
      </w:pPr>
      <w:r>
        <w:t>Key Findings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72026"/>
          <w:sz w:val="22"/>
        </w:rPr>
        <w:t>Die Gruppenphase brachte 215 Tore in 72 Spielen, also 2.99 pro Spiel.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72026"/>
          <w:sz w:val="22"/>
        </w:rPr>
        <w:t>Der durchschnittliche Weather Load lag bei 21.1/100; 28 Partien lagen im mindestens mittleren Belastungsbereich.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172026"/>
          <w:sz w:val="22"/>
        </w:rPr>
        <w:t>Die Event-Coverage deckt 40/73 beendete Spiele mit Tor-Events ab; Ist-Wetter bleibt bewusst offen, solange keine Messdaten vorliegen.</w:t>
      </w:r>
    </w:p>
    <w:p>
      <w:pPr>
        <w:pStyle w:val="Heading1"/>
      </w:pPr>
      <w:r>
        <w:t>Turnierbild in Kennzahlen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448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Spiele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Tore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Tore/Spiel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rPr>
                <w:b/>
                <w:sz w:val="20"/>
              </w:rPr>
              <w:t>Wetterkante</w:t>
            </w:r>
          </w:p>
        </w:tc>
      </w:tr>
      <w:tr>
        <w:tc>
          <w:tcPr>
            <w:tcW w:type="dxa" w:w="230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72</w:t>
            </w:r>
          </w:p>
        </w:tc>
        <w:tc>
          <w:tcPr>
            <w:tcW w:type="dxa" w:w="230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215</w:t>
            </w:r>
          </w:p>
        </w:tc>
        <w:tc>
          <w:tcPr>
            <w:tcW w:type="dxa" w:w="230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2.99</w:t>
            </w:r>
          </w:p>
        </w:tc>
        <w:tc>
          <w:tcPr>
            <w:tcW w:type="dxa" w:w="244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10/44 (23%)</w:t>
            </w:r>
          </w:p>
        </w:tc>
      </w:tr>
    </w:tbl>
    <w:p>
      <w:r>
        <w:t>Der Gruppenphasen-Datensatz kombiniert Resultate, Event-Coverage sowie Forecast- und Weather-Fit-Signale. Ist-Wetter bleibt bewusst ausgeklammert, solange keine belastbaren Messdaten importiert sind.</w:t>
      </w:r>
    </w:p>
    <w:p>
      <w:pPr>
        <w:pStyle w:val="Heading1"/>
      </w:pPr>
      <w:r>
        <w:t>Kontextbeispiele</w:t>
      </w:r>
    </w:p>
    <w:p>
      <w:pPr>
        <w:pStyle w:val="Heading2"/>
      </w:pPr>
      <w:r>
        <w:t>Bestaetigte Wetterkanten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M030 · ECU vs. DEU · 2:1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East Rutherford | Datum: 2026-06-25 | Weather Load: 18.0/100 | Edge-Gap: 31.33/100.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M017 · SCO vs. BRA · 0:3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Miami Gardens | Datum: 2026-06-24 | Weather Load: 32.0/100 | Edge-Gap: 16.03/100.</w:t>
      </w:r>
    </w:p>
    <w:p>
      <w:pPr>
        <w:spacing w:after="40"/>
      </w:pPr>
      <w:r>
        <w:rPr>
          <w:rFonts w:ascii="Calibri" w:hAnsi="Calibri"/>
          <w:b/>
          <w:color w:val="0F8B8D"/>
          <w:sz w:val="22"/>
        </w:rPr>
        <w:t>M066 · COD vs. UZB · 3:1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Atlanta | Datum: 2026-06-27 | Weather Load: 42.0/100 | Edge-Gap: 14.44/100.</w:t>
      </w:r>
    </w:p>
    <w:p>
      <w:pPr>
        <w:pStyle w:val="Heading2"/>
      </w:pPr>
      <w:r>
        <w:t>Verpasste Wetterkanten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M049 · FRA vs. SEN · 3:1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East Rutherford | Datum: 2026-06-16 | Weather Load: 18.0/100 | Edge-Gap: 23.99/100.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M025 · DEU vs. CUW · 7:1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Houston | Datum: 2026-06-14 | Weather Load: 49.0/100 | Edge-Gap: 23.77/100.</w:t>
      </w:r>
    </w:p>
    <w:p>
      <w:pPr>
        <w:spacing w:after="40"/>
      </w:pPr>
      <w:r>
        <w:rPr>
          <w:rFonts w:ascii="Calibri" w:hAnsi="Calibri"/>
          <w:b/>
          <w:color w:val="D95D39"/>
          <w:sz w:val="22"/>
        </w:rPr>
        <w:t>M052 · NOR vs. SEN · 3:2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East Rutherford | Datum: 2026-06-22 | Weather Load: 7.0/100 | Edge-Gap: 19.35/100.</w:t>
      </w:r>
    </w:p>
    <w:p>
      <w:pPr>
        <w:pStyle w:val="Heading2"/>
      </w:pPr>
      <w:r>
        <w:t>Remis trotz klarer Kante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M061 · PRT vs. COD · 1:1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Houston | Datum: 2026-06-17 | Weather Load: 50.0/100 | Edge-Gap: 28.96/100.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M043 · ESP vs. CPV · 0:0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Atlanta | Datum: 2026-06-15 | Weather Load: 18.0/100 | Edge-Gap: 19.64/100.</w:t>
      </w:r>
    </w:p>
    <w:p>
      <w:pPr>
        <w:spacing w:after="40"/>
      </w:pPr>
      <w:r>
        <w:rPr>
          <w:rFonts w:ascii="Calibri" w:hAnsi="Calibri"/>
          <w:b/>
          <w:color w:val="204A78"/>
          <w:sz w:val="22"/>
        </w:rPr>
        <w:t>M065 · COL vs. PRT · 0:0</w:t>
      </w:r>
    </w:p>
    <w:p>
      <w:pPr>
        <w:spacing w:after="120"/>
      </w:pPr>
      <w:r>
        <w:rPr>
          <w:rFonts w:ascii="Calibri" w:hAnsi="Calibri"/>
          <w:b w:val="0"/>
          <w:color w:val="61707A"/>
          <w:sz w:val="21"/>
        </w:rPr>
        <w:t>Ort: Miami Gardens | Datum: 2026-06-27 | Weather Load: 32.0/100 | Edge-Gap: 16.57/100.</w:t>
      </w:r>
    </w:p>
    <w:p>
      <w:pPr>
        <w:pStyle w:val="Heading1"/>
      </w:pPr>
      <w:r>
        <w:t>Teamprofile</w:t>
      </w:r>
    </w:p>
    <w:p>
      <w:pPr>
        <w:pStyle w:val="Heading2"/>
      </w:pPr>
      <w:r>
        <w:t>Top-Offensiven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1584"/>
        <w:gridCol w:w="3024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#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Team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Sp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Wert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🇫🇷 Frankreich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10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🇩🇪 Deutschland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10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🇳🇱 Niederlande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10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4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🇦🇷 Argentinien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5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🇨🇦 Kanada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</w:tr>
    </w:tbl>
    <w:p>
      <w:pPr>
        <w:pStyle w:val="Heading2"/>
      </w:pPr>
      <w:r>
        <w:t>Beste Tordifferenz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1584"/>
        <w:gridCol w:w="3024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#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Team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Sp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Wert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🇫🇷 Frankreich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8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🇦🇷 Argentinien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7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🇲🇽 Mexiko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6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4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🇧🇷 Brasilien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6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5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🇩🇪 Deutschland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6</w:t>
            </w:r>
          </w:p>
        </w:tc>
      </w:tr>
    </w:tbl>
    <w:p>
      <w:pPr>
        <w:pStyle w:val="Heading2"/>
      </w:pPr>
      <w:r>
        <w:t>Meiste Gegentore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1584"/>
        <w:gridCol w:w="3024"/>
      </w:tblGrid>
      <w:tr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#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Team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Sp</w:t>
            </w:r>
          </w:p>
        </w:tc>
        <w:tc>
          <w:tcPr>
            <w:tcW w:type="dxa" w:w="2340"/>
            <w:shd w:fill="EEF3F5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Wert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🇹🇳 Tunesien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12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2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🇮🇶 Irak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12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🇺🇿 Usbekistan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11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4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🇳🇿 Neuseeland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10</w:t>
            </w:r>
          </w:p>
        </w:tc>
      </w:tr>
      <w:tr>
        <w:tc>
          <w:tcPr>
            <w:tcW w:type="dxa" w:w="1008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5</w:t>
            </w:r>
          </w:p>
        </w:tc>
        <w:tc>
          <w:tcPr>
            <w:tcW w:type="dxa" w:w="374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🇶🇦 Katar</w:t>
            </w:r>
          </w:p>
        </w:tc>
        <w:tc>
          <w:tcPr>
            <w:tcW w:type="dxa" w:w="158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3</w:t>
            </w:r>
          </w:p>
        </w:tc>
        <w:tc>
          <w:tcPr>
            <w:tcW w:type="dxa" w:w="3024"/>
            <w:tcBorders>
              <w:top w:val="single" w:sz="8" w:color="D8E1E5"/>
              <w:left w:val="single" w:sz="8" w:color="D8E1E5"/>
              <w:bottom w:val="single" w:sz="8" w:color="D8E1E5"/>
              <w:right w:val="single" w:sz="8" w:color="D8E1E5"/>
            </w:tcBorders>
          </w:tcPr>
          <w:p>
            <w:r>
              <w:t>10</w:t>
            </w:r>
          </w:p>
        </w:tc>
      </w:tr>
    </w:tbl>
    <w:p>
      <w:pPr>
        <w:pStyle w:val="Heading1"/>
      </w:pPr>
      <w:r>
        <w:t>K.o.-Runden-Ausblick</w:t>
      </w:r>
    </w:p>
    <w:p>
      <w:r>
        <w:t>Vor dem weiteren Turnierverlauf sind 31 K.o.-Spiele ohne Endstand im Export. Davon tragen 27 bereits Forecasts und 2 belastbare Weather-Fit-Werte.</w:t>
      </w:r>
    </w:p>
    <w:p>
      <w:r>
        <w:t>Die Event-Coverage liegt bei 40/73 Spielen mit Tor-Events, 43 Spielen mit kompletter Startelf und 43 Spielen mit Hydration-Markern.</w:t>
      </w:r>
    </w:p>
    <w:p>
      <w:r>
        <w:t>Weather Fit bleibt ein Kontextindikator. Ergebnisse, Tore und Wettermuster werden deskriptiv ausgewertet; Kausalität wird nicht behauptet.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04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04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04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