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2.emf" ContentType="image/x-emf"/>
  <Override PartName="/word/embeddings/oleObject1.bin" ContentType="application/vnd.openxmlformats-officedocument.oleObject"/>
  <Override PartName="/word/embeddings/oleObject2.bin" ContentType="application/vnd.openxmlformats-officedocument.oleObject"/>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headerReference w:type="default" r:id="rId2"/>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21.900 </w:t>
                            </w:r>
                            <w:r>
                              <w:rPr/>
                              <w:t xml:space="preserve">V10.1.0 </w:t>
                            </w:r>
                            <w:r>
                              <w:rPr>
                                <w:sz w:val="32"/>
                              </w:rPr>
                              <w:t>(2011-12)</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TR 21.900 </w:t>
                      </w:r>
                      <w:r>
                        <w:rPr/>
                        <w:t xml:space="preserve">V10.1.0 </w:t>
                      </w:r>
                      <w:r>
                        <w:rPr>
                          <w:sz w:val="32"/>
                        </w:rPr>
                        <w:t>(2011-12)</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Report</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197610"/>
                <wp:effectExtent l="0" t="0" r="0" b="0"/>
                <wp:wrapTopAndBottom/>
                <wp:docPr id="3" name="Frame3"/>
                <a:graphic xmlns:a="http://schemas.openxmlformats.org/drawingml/2006/main">
                  <a:graphicData uri="http://schemas.microsoft.com/office/word/2010/wordprocessingShape">
                    <wps:wsp>
                      <wps:cNvSpPr txBox="1"/>
                      <wps:spPr>
                        <a:xfrm>
                          <a:off x="0" y="0"/>
                          <a:ext cx="6479540" cy="11976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Technical Specification Group working methods</w:t>
                            </w:r>
                          </w:p>
                          <w:p>
                            <w:pPr>
                              <w:pStyle w:val="ZT"/>
                              <w:rPr/>
                            </w:pPr>
                            <w:r>
                              <w:rPr/>
                              <w:t>(</w:t>
                            </w:r>
                            <w:r>
                              <w:rPr>
                                <w:rStyle w:val="ZGSM"/>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3pt;mso-wrap-distance-left:0pt;mso-wrap-distance-right:0pt;mso-wrap-distance-top:0pt;mso-wrap-distance-bottom:0pt;margin-top:47.7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Technical Specification Group working methods</w:t>
                      </w:r>
                    </w:p>
                    <w:p>
                      <w:pPr>
                        <w:pStyle w:val="ZT"/>
                        <w:rPr/>
                      </w:pPr>
                      <w:r>
                        <w:rPr/>
                        <w:t>(</w:t>
                      </w:r>
                      <w:r>
                        <w:rPr>
                          <w:rStyle w:val="ZGSM"/>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096010"/>
                <wp:effectExtent l="0" t="0" r="0" b="0"/>
                <wp:wrapTopAndBottom/>
                <wp:docPr id="4" name="Frame4"/>
                <a:graphic xmlns:a="http://schemas.openxmlformats.org/drawingml/2006/main">
                  <a:graphicData uri="http://schemas.microsoft.com/office/word/2010/wordprocessingShape">
                    <wps:wsp>
                      <wps:cNvSpPr txBox="1"/>
                      <wps:spPr>
                        <a:xfrm>
                          <a:off x="0" y="0"/>
                          <a:ext cx="6480810" cy="1096010"/>
                        </a:xfrm>
                        <a:prstGeom prst="rect"/>
                        <a:solidFill>
                          <a:srgbClr val="FFFFFF">
                            <a:alpha val="0"/>
                          </a:srgbClr>
                        </a:solidFill>
                      </wps:spPr>
                      <wps:txbx>
                        <w:txbxContent>
                          <w:p>
                            <w:pPr>
                              <w:pStyle w:val="ZU"/>
                              <w:tabs>
                                <w:tab w:val="clear" w:pos="284"/>
                                <w:tab w:val="right" w:pos="10206" w:leader="none"/>
                              </w:tabs>
                              <w:jc w:val="start"/>
                              <w:rPr/>
                            </w:pPr>
                            <w:r>
                              <w:rPr/>
                              <w:drawing>
                                <wp:inline distT="0" distB="0" distL="0" distR="0">
                                  <wp:extent cx="1131570" cy="103251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3"/>
                                          <a:srcRect l="-2" t="-2" r="-2" b="-2"/>
                                          <a:stretch>
                                            <a:fillRect/>
                                          </a:stretch>
                                        </pic:blipFill>
                                        <pic:spPr bwMode="auto">
                                          <a:xfrm>
                                            <a:off x="0" y="0"/>
                                            <a:ext cx="1131570" cy="1032510"/>
                                          </a:xfrm>
                                          <a:prstGeom prst="rect">
                                            <a:avLst/>
                                          </a:prstGeom>
                                          <a:noFill/>
                                        </pic:spPr>
                                      </pic:pic>
                                    </a:graphicData>
                                  </a:graphic>
                                </wp:inline>
                              </w:drawing>
                            </w:r>
                            <w:r>
                              <w:rPr>
                                <w:color w:val="0000FF"/>
                              </w:rPr>
                              <w:tab/>
                            </w:r>
                            <w:r>
                              <w:rPr>
                                <w:lang w:val="fr-FR"/>
                              </w:rPr>
                              <w:object w:dxaOrig="2551" w:dyaOrig="130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27.55pt;height:65pt" filled="f" o:ole="">
                                  <v:imagedata r:id="rId5" o:title=""/>
                                </v:shape>
                                <o:OLEObject Type="Embed" ProgID="" ShapeID="ole_rId4" DrawAspect="Content" ObjectID="_246563172" r:id="rId4"/>
                              </w:object>
                            </w:r>
                          </w:p>
                        </w:txbxContent>
                      </wps:txbx>
                      <wps:bodyPr anchor="t" lIns="0" tIns="12700" rIns="0" bIns="0">
                        <a:noAutofit/>
                      </wps:bodyPr>
                    </wps:wsp>
                  </a:graphicData>
                </a:graphic>
              </wp:anchor>
            </w:drawing>
          </mc:Choice>
          <mc:Fallback>
            <w:pict>
              <v:rect fillcolor="#FFFFFF" style="position:absolute;rotation:-0;width:510.3pt;height:86.3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drawing>
                          <wp:inline distT="0" distB="0" distL="0" distR="0">
                            <wp:extent cx="1131570" cy="103251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6"/>
                                    <a:srcRect l="-2" t="-2" r="-2" b="-2"/>
                                    <a:stretch>
                                      <a:fillRect/>
                                    </a:stretch>
                                  </pic:blipFill>
                                  <pic:spPr bwMode="auto">
                                    <a:xfrm>
                                      <a:off x="0" y="0"/>
                                      <a:ext cx="1131570" cy="1032510"/>
                                    </a:xfrm>
                                    <a:prstGeom prst="rect">
                                      <a:avLst/>
                                    </a:prstGeom>
                                    <a:noFill/>
                                  </pic:spPr>
                                </pic:pic>
                              </a:graphicData>
                            </a:graphic>
                          </wp:inline>
                        </w:drawing>
                      </w:r>
                      <w:r>
                        <w:rPr>
                          <w:color w:val="0000FF"/>
                        </w:rPr>
                        <w:tab/>
                      </w:r>
                      <w:r>
                        <w:rPr>
                          <w:lang w:val="fr-FR"/>
                        </w:rPr>
                        <w:object w:dxaOrig="2551" w:dyaOrig="1300">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27.55pt;height:65pt" filled="f" o:ole="">
                            <v:imagedata r:id="rId8" o:title=""/>
                          </v:shape>
                          <o:OLEObject Type="Embed" ProgID="" ShapeID="ole_rId7" DrawAspect="Content" ObjectID="_228772872" r:id="rId7"/>
                        </w:object>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7"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bookmarkEnd w:id="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methodology</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methodology</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79.4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eastAsia="Batang;Arial Unicode MS"/>
              <w:sz w:val="24"/>
              <w:szCs w:val="24"/>
              <w:lang w:val="en-IN"/>
            </w:rPr>
          </w:pPr>
          <w:r>
            <w:fldChar w:fldCharType="begin"/>
          </w:r>
          <w:r>
            <w:rPr/>
            <w:instrText xml:space="preserve"> TOC \o "1-9" </w:instrText>
          </w:r>
          <w:r>
            <w:rPr/>
            <w:fldChar w:fldCharType="separate"/>
          </w:r>
          <w:r>
            <w:rPr/>
            <w:t>Foreword</w:t>
            <w:tab/>
          </w:r>
          <w:hyperlink w:anchor="__RefHeading___Toc311815239">
            <w:r>
              <w:rPr>
                <w:rStyle w:val="IndexLink"/>
              </w:rPr>
              <w:t>4</w:t>
            </w:r>
          </w:hyperlink>
        </w:p>
        <w:p>
          <w:pPr>
            <w:pStyle w:val="TOC1"/>
            <w:rPr>
              <w:rFonts w:eastAsia="Batang;Arial Unicode MS"/>
              <w:sz w:val="24"/>
              <w:szCs w:val="24"/>
              <w:lang w:val="en-IN"/>
            </w:rPr>
          </w:pPr>
          <w:r>
            <w:rPr/>
            <w:t>Introduction</w:t>
            <w:tab/>
          </w:r>
          <w:hyperlink w:anchor="__RefHeading___Toc311815240">
            <w:r>
              <w:rPr>
                <w:rStyle w:val="IndexLink"/>
              </w:rPr>
              <w:t>4</w:t>
            </w:r>
          </w:hyperlink>
        </w:p>
        <w:p>
          <w:pPr>
            <w:pStyle w:val="TOC1"/>
            <w:rPr>
              <w:rFonts w:eastAsia="Batang;Arial Unicode MS"/>
              <w:sz w:val="24"/>
              <w:szCs w:val="24"/>
              <w:lang w:val="en-IN"/>
            </w:rPr>
          </w:pPr>
          <w:r>
            <w:rPr/>
            <w:t>1</w:t>
          </w:r>
          <w:r>
            <w:rPr>
              <w:rFonts w:eastAsia="Batang;Arial Unicode MS"/>
              <w:sz w:val="24"/>
              <w:szCs w:val="24"/>
              <w:lang w:val="en-IN"/>
            </w:rPr>
            <w:tab/>
          </w:r>
          <w:r>
            <w:rPr/>
            <w:t>Scope</w:t>
            <w:tab/>
          </w:r>
          <w:hyperlink w:anchor="__RefHeading___Toc311815241">
            <w:r>
              <w:rPr>
                <w:rStyle w:val="IndexLink"/>
              </w:rPr>
              <w:t>5</w:t>
            </w:r>
          </w:hyperlink>
        </w:p>
        <w:p>
          <w:pPr>
            <w:pStyle w:val="TOC1"/>
            <w:rPr>
              <w:rFonts w:eastAsia="Batang;Arial Unicode MS"/>
              <w:sz w:val="24"/>
              <w:szCs w:val="24"/>
              <w:lang w:val="en-IN"/>
            </w:rPr>
          </w:pPr>
          <w:r>
            <w:rPr/>
            <w:t>1A</w:t>
          </w:r>
          <w:r>
            <w:rPr>
              <w:rFonts w:eastAsia="Batang;Arial Unicode MS"/>
              <w:sz w:val="24"/>
              <w:szCs w:val="24"/>
              <w:lang w:val="en-IN"/>
            </w:rPr>
            <w:tab/>
          </w:r>
          <w:r>
            <w:rPr/>
            <w:t>References</w:t>
            <w:tab/>
          </w:r>
          <w:hyperlink w:anchor="__RefHeading___Toc311815242">
            <w:r>
              <w:rPr>
                <w:rStyle w:val="IndexLink"/>
              </w:rPr>
              <w:t>5</w:t>
            </w:r>
          </w:hyperlink>
        </w:p>
        <w:p>
          <w:pPr>
            <w:pStyle w:val="TOC9"/>
            <w:rPr>
              <w:rFonts w:eastAsia="Batang;Arial Unicode MS"/>
              <w:b w:val="false"/>
              <w:sz w:val="24"/>
              <w:szCs w:val="24"/>
              <w:lang w:val="en-IN"/>
            </w:rPr>
          </w:pPr>
          <w:r>
            <w:rPr>
              <w:b w:val="false"/>
            </w:rPr>
            <w:t>Annex A:</w:t>
            <w:tab/>
            <w:t>Change history</w:t>
            <w:tab/>
          </w:r>
          <w:hyperlink w:anchor="__RefHeading___Toc311815243">
            <w:r>
              <w:rPr>
                <w:rStyle w:val="IndexLink"/>
                <w:b w:val="false"/>
              </w:rPr>
              <w:t>6</w:t>
            </w:r>
          </w:hyperlink>
          <w:r>
            <w:rPr>
              <w:rStyle w:val="IndexLink"/>
              <w:b w:val="false"/>
            </w:rPr>
            <w:fldChar w:fldCharType="end"/>
          </w:r>
        </w:p>
      </w:sdtContent>
    </w:sdt>
    <w:p>
      <w:pPr>
        <w:pStyle w:val="Normal"/>
        <w:rPr/>
      </w:pPr>
      <w:r>
        <w:rPr>
          <w:rFonts w:eastAsia="Batang;Arial Unicode MS"/>
          <w:b/>
          <w:sz w:val="22"/>
          <w:szCs w:val="24"/>
          <w:lang w:val="en-IN" w:eastAsia="en-IN"/>
        </w:rPr>
      </w:r>
      <w:r>
        <w:br w:type="page"/>
      </w:r>
    </w:p>
    <w:p>
      <w:pPr>
        <w:pStyle w:val="Heading1"/>
        <w:rPr/>
      </w:pPr>
      <w:bookmarkStart w:id="5" w:name="__RefHeading___Toc311815239"/>
      <w:bookmarkEnd w:id="5"/>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rPr/>
      </w:pPr>
      <w:bookmarkStart w:id="6" w:name="__RefHeading___Toc311815240"/>
      <w:bookmarkEnd w:id="6"/>
      <w:r>
        <w:rPr/>
        <w:t>Introduction</w:t>
      </w:r>
    </w:p>
    <w:p>
      <w:pPr>
        <w:pStyle w:val="Normal"/>
        <w:rPr/>
      </w:pPr>
      <w:r>
        <w:rPr/>
        <w:t>In order to ensure correctness and consistency of the specifications (i.e., technical specifications and technical reports) under responsibility of the Technical Specification Groups (TSG) of the 3</w:t>
      </w:r>
      <w:r>
        <w:rPr>
          <w:vertAlign w:val="superscript"/>
        </w:rPr>
        <w:t>rd</w:t>
      </w:r>
      <w:r>
        <w:rPr/>
        <w:t xml:space="preserve"> Generation Partnership Project (3GPP), clear, manageable and efficient mechanisms are necessary to handle version control, change control, document updating, distribution and management.</w:t>
      </w:r>
    </w:p>
    <w:p>
      <w:pPr>
        <w:pStyle w:val="Normal"/>
        <w:rPr/>
      </w:pPr>
      <w:r>
        <w:rPr/>
        <w:t>The provisions for this Release are identical with those for the latest Release of TR 21.900 [1].</w:t>
      </w:r>
      <w:r>
        <w:br w:type="page"/>
      </w:r>
    </w:p>
    <w:p>
      <w:pPr>
        <w:pStyle w:val="Heading1"/>
        <w:rPr/>
      </w:pPr>
      <w:bookmarkStart w:id="7" w:name="__RefHeading___Toc311815241"/>
      <w:bookmarkEnd w:id="7"/>
      <w:r>
        <w:rPr/>
        <w:t>1</w:t>
        <w:tab/>
        <w:t>Scope</w:t>
      </w:r>
    </w:p>
    <w:p>
      <w:pPr>
        <w:pStyle w:val="Normal"/>
        <w:rPr/>
      </w:pPr>
      <w:r>
        <w:rPr/>
        <w:t>This document outlines the working methods to be used by the 3GPP Technical Specification Groups and their Working Groups and their Sub-Groups, and by the 3GPP Support Team in relation to document management, i.e. handling of specifications, updating procedures, Change Request procedures, version control mechanisms, specifications status information etc. It complements the rules and procedures defined for 3GPP. This document does not stipulate the details of the internal working of the TSG Sub-Groups. From the Technical Specification Group point of view, a task and responsibility is given to a Working Group directly answering to the Technical Specification Group. In practice, the work/task may be carried out in a subgroup of that Working Group.</w:t>
      </w:r>
    </w:p>
    <w:p>
      <w:pPr>
        <w:pStyle w:val="Heading1"/>
        <w:rPr/>
      </w:pPr>
      <w:bookmarkStart w:id="8" w:name="__RefHeading___Toc311815242"/>
      <w:bookmarkEnd w:id="8"/>
      <w:r>
        <w:rPr/>
        <w:t>1A</w:t>
        <w:tab/>
        <w:t>References</w:t>
      </w:r>
    </w:p>
    <w:p>
      <w:pPr>
        <w:pStyle w:val="Normal"/>
        <w:rPr/>
      </w:pPr>
      <w:r>
        <w:rPr/>
        <w:t>The following documents contain provisions which, through reference in this text, constitute provisions of the present document.</w:t>
      </w:r>
    </w:p>
    <w:p>
      <w:pPr>
        <w:pStyle w:val="ListBullet"/>
        <w:numPr>
          <w:ilvl w:val="0"/>
          <w:numId w:val="2"/>
        </w:numPr>
        <w:ind w:hanging="284" w:start="568" w:end="0"/>
        <w:rPr/>
      </w:pPr>
      <w:r>
        <w:rPr/>
        <w:t>References are either specific (identified by date of publication, edition number, version number, etc.) or non</w:t>
        <w:noBreakHyphen/>
        <w:t>specific.</w:t>
      </w:r>
    </w:p>
    <w:p>
      <w:pPr>
        <w:pStyle w:val="ListBullet"/>
        <w:numPr>
          <w:ilvl w:val="0"/>
          <w:numId w:val="2"/>
        </w:numPr>
        <w:ind w:hanging="284" w:start="568" w:end="0"/>
        <w:rPr/>
      </w:pPr>
      <w:r>
        <w:rPr/>
        <w:t>For a specific reference, subsequent revisions do not apply.</w:t>
      </w:r>
    </w:p>
    <w:p>
      <w:pPr>
        <w:pStyle w:val="ListBullet"/>
        <w:numPr>
          <w:ilvl w:val="0"/>
          <w:numId w:val="2"/>
        </w:numPr>
        <w:ind w:hanging="284" w:start="568" w:end="0"/>
        <w:rPr/>
      </w:pPr>
      <w:r>
        <w:rPr/>
        <w:t>For a non-specific reference, the latest version applies.</w:t>
      </w:r>
      <w:r>
        <w:rPr>
          <w:b/>
        </w:rPr>
        <w:t xml:space="preserve"> </w:t>
      </w:r>
      <w:r>
        <w:rPr/>
        <w:t xml:space="preserve">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3GPP TR 21.900 Release 11: "Technical Specification Group working methods".</w:t>
      </w:r>
      <w:r>
        <w:br w:type="page"/>
      </w:r>
    </w:p>
    <w:p>
      <w:pPr>
        <w:pStyle w:val="Heading9"/>
        <w:ind w:hanging="0" w:start="0"/>
        <w:rPr/>
      </w:pPr>
      <w:bookmarkStart w:id="9" w:name="__RefHeading___Toc311815243"/>
      <w:bookmarkEnd w:id="9"/>
      <w:r>
        <w:rPr/>
        <w:t>Annex A:</w:t>
        <w:br/>
        <w:t>Change history</w:t>
      </w:r>
    </w:p>
    <w:p>
      <w:pPr>
        <w:pStyle w:val="TH"/>
        <w:rPr/>
      </w:pPr>
      <w:r>
        <w:rPr/>
      </w:r>
    </w:p>
    <w:tbl>
      <w:tblPr>
        <w:tblW w:w="9396" w:type="dxa"/>
        <w:jc w:val="start"/>
        <w:tblInd w:w="0" w:type="dxa"/>
        <w:tblLayout w:type="fixed"/>
        <w:tblCellMar>
          <w:top w:w="0" w:type="dxa"/>
          <w:start w:w="108" w:type="dxa"/>
          <w:bottom w:w="0" w:type="dxa"/>
          <w:end w:w="108" w:type="dxa"/>
        </w:tblCellMar>
      </w:tblPr>
      <w:tblGrid>
        <w:gridCol w:w="959"/>
        <w:gridCol w:w="765"/>
        <w:gridCol w:w="794"/>
        <w:gridCol w:w="1134"/>
        <w:gridCol w:w="851"/>
        <w:gridCol w:w="4893"/>
      </w:tblGrid>
      <w:tr>
        <w:trPr>
          <w:tblHeader w:val="true"/>
          <w:cantSplit/>
        </w:trPr>
        <w:tc>
          <w:tcPr>
            <w:tcW w:w="9396" w:type="dxa"/>
            <w:gridSpan w:val="6"/>
            <w:tcBorders>
              <w:top w:val="single" w:sz="6" w:space="0" w:color="000000"/>
              <w:start w:val="single" w:sz="6" w:space="0" w:color="000000"/>
              <w:bottom w:val="single" w:sz="6" w:space="0" w:color="000000"/>
              <w:end w:val="single" w:sz="6" w:space="0" w:color="000000"/>
            </w:tcBorders>
          </w:tcPr>
          <w:p>
            <w:pPr>
              <w:pStyle w:val="TAH"/>
              <w:spacing w:lineRule="exact" w:line="220"/>
              <w:rPr>
                <w:rFonts w:ascii="Times New Roman" w:hAnsi="Times New Roman" w:cs="Times New Roman"/>
                <w:b w:val="false"/>
                <w:sz w:val="16"/>
              </w:rPr>
            </w:pPr>
            <w:r>
              <w:rPr/>
              <w:t>Change history</w:t>
            </w:r>
          </w:p>
        </w:tc>
      </w:tr>
      <w:tr>
        <w:trPr>
          <w:tblHeader w:val="true"/>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TSG SA#</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Version</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CR</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Tdoc SA</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New Version</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Subject/Comment</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SP-04</w:t>
            </w:r>
          </w:p>
        </w:tc>
        <w:tc>
          <w:tcPr>
            <w:tcW w:w="765" w:type="dxa"/>
            <w:vMerge w:val="restart"/>
            <w:tcBorders>
              <w:top w:val="single" w:sz="6" w:space="0" w:color="000000"/>
              <w:start w:val="single" w:sz="6" w:space="0" w:color="000000"/>
              <w:bottom w:val="single" w:sz="6" w:space="0" w:color="000000"/>
              <w:end w:val="single" w:sz="6" w:space="0" w:color="000000"/>
            </w:tcBorders>
          </w:tcPr>
          <w:p>
            <w:pPr>
              <w:pStyle w:val="TAL"/>
              <w:rPr>
                <w:sz w:val="16"/>
              </w:rPr>
            </w:pPr>
            <w:r>
              <w:rPr>
                <w:sz w:val="16"/>
              </w:rPr>
              <w:t>3.0.0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001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SP-99288</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rPr>
            </w:pPr>
            <w:r>
              <w:rPr>
                <w:sz w:val="16"/>
              </w:rPr>
              <w:t>3.1.0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Alignment with TSG SA decisions made at TSG#3. Deletion of Strategic/non strategic CR references. Change of PT to Support Team, editorial corrections.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002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SP-99289</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rPr>
            </w:pPr>
            <w:r>
              <w:rPr>
                <w:sz w:val="16"/>
              </w:rPr>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Harmonisation of the use of software for 3GPP documents in order to minimise the errors due to software conversion problems and to allow efficient interchange of electronic files for electronic working.</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SP-05</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3.1.0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003</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SP-99428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rPr>
            </w:pPr>
            <w:r>
              <w:rPr>
                <w:sz w:val="16"/>
              </w:rPr>
              <w:t>3.2.0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 xml:space="preserve">Addition of new text related to electronic working practices. </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SP-08</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3.2.0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005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SP-000279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rPr>
            </w:pPr>
            <w:r>
              <w:rPr>
                <w:sz w:val="16"/>
              </w:rPr>
              <w:t>3.3.0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Clarification and editorial corrections to provisions covering the management of specifications and Work Items.</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SP-09</w:t>
            </w:r>
          </w:p>
        </w:tc>
        <w:tc>
          <w:tcPr>
            <w:tcW w:w="765" w:type="dxa"/>
            <w:vMerge w:val="restart"/>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3.3.0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007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SP-000402</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rPr>
            </w:pPr>
            <w:r>
              <w:rPr>
                <w:sz w:val="16"/>
                <w:lang w:val="en-AU"/>
              </w:rPr>
              <w:t>3.4.0</w:t>
            </w:r>
          </w:p>
        </w:tc>
        <w:tc>
          <w:tcPr>
            <w:tcW w:w="4893" w:type="dxa"/>
            <w:tcBorders>
              <w:top w:val="single" w:sz="6" w:space="0" w:color="000000"/>
              <w:start w:val="single" w:sz="6" w:space="0" w:color="000000"/>
              <w:bottom w:val="single" w:sz="6" w:space="0" w:color="000000"/>
              <w:end w:val="single" w:sz="6" w:space="0" w:color="000000"/>
            </w:tcBorders>
          </w:tcPr>
          <w:p>
            <w:pPr>
              <w:pStyle w:val="TAL"/>
              <w:rPr>
                <w:rFonts w:cs="Arial"/>
                <w:sz w:val="16"/>
              </w:rPr>
            </w:pPr>
            <w:r>
              <w:rPr>
                <w:rFonts w:cs="Arial"/>
                <w:sz w:val="16"/>
              </w:rPr>
              <w:t>Role of rapporteur for both Specifications and Work Items.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rFonts w:cs="Arial"/>
                <w:sz w:val="16"/>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008 r2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SP-000492</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rFonts w:cs="Arial"/>
                <w:sz w:val="16"/>
              </w:rPr>
            </w:pPr>
            <w:r>
              <w:rPr>
                <w:rFonts w:cs="Arial"/>
                <w:sz w:val="16"/>
              </w:rPr>
              <w:t>Clarification of CR categories.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rFonts w:cs="Arial"/>
                <w:sz w:val="16"/>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010</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SP-000461</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rFonts w:cs="Arial"/>
                <w:sz w:val="16"/>
              </w:rPr>
            </w:pPr>
            <w:r>
              <w:rPr>
                <w:sz w:val="16"/>
              </w:rPr>
              <w:t>Clarification of CR categories for a frozen 3GPP release.</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rFonts w:cs="Arial"/>
                <w:sz w:val="16"/>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editorial</w:t>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rPr>
            </w:pPr>
            <w:r>
              <w:rPr>
                <w:sz w:val="16"/>
              </w:rPr>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rFonts w:cs="Arial"/>
                <w:sz w:val="16"/>
              </w:rPr>
              <w:t>Change of “Release 2000” into “Release 4”, addition of “Release 5”.</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SP-10</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3.4.0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011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SP-000693</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rPr>
            </w:pPr>
            <w:r>
              <w:rPr>
                <w:sz w:val="16"/>
                <w:lang w:val="fr-FR"/>
              </w:rPr>
              <w:t>3.5.0</w:t>
            </w:r>
          </w:p>
        </w:tc>
        <w:tc>
          <w:tcPr>
            <w:tcW w:w="4893" w:type="dxa"/>
            <w:tcBorders>
              <w:top w:val="single" w:sz="6" w:space="0" w:color="000000"/>
              <w:start w:val="single" w:sz="6" w:space="0" w:color="000000"/>
              <w:bottom w:val="single" w:sz="6" w:space="0" w:color="000000"/>
              <w:end w:val="single" w:sz="6" w:space="0" w:color="000000"/>
            </w:tcBorders>
          </w:tcPr>
          <w:p>
            <w:pPr>
              <w:pStyle w:val="TAL"/>
              <w:rPr>
                <w:rFonts w:cs="Arial"/>
                <w:sz w:val="16"/>
                <w:lang w:val="en-AU"/>
              </w:rPr>
            </w:pPr>
            <w:r>
              <w:rPr>
                <w:sz w:val="16"/>
              </w:rPr>
              <w:t>Release numbers appearing in CR cover sheets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rFonts w:cs="Arial"/>
                <w:sz w:val="16"/>
                <w:lang w:val="en-AU"/>
              </w:rPr>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3.4.0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012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SP-000693</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rPr>
            </w:pPr>
            <w:r>
              <w:rPr>
                <w:sz w:val="16"/>
              </w:rPr>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Clarification of the "freezing" of specifications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3.4.0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013 r2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fr-FR"/>
              </w:rPr>
              <w:t>SP-000693</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rPr>
            </w:pPr>
            <w:r>
              <w:rPr>
                <w:sz w:val="16"/>
              </w:rPr>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Release mechanisms</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SP-11</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3.5.0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014 r1</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SP-010178</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3.6.0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Inclusion of GSM spec numbering scheme</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rPr>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3.6.0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4.0.0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Upgrade to Rel</w:t>
              <w:noBreakHyphen/>
              <w:t>4.</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SP-16</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4.0.0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5.0.0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Upgrade to Rel-5.</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2002-09-17</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5.0.0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5.0.1</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Editorial correction to front cover (change title to read Release 5 instead of Release 4)</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SP-21</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5.0.1</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SP-030499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6.0.0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lang w:val="en-IN" w:eastAsia="en-IN"/>
              </w:rPr>
              <w:t>Addition of stage 1-2-3 specification structure description</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SP-22</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6.0.0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019</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SP-030575</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6.1.0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lang w:val="en-IN" w:eastAsia="en-IN"/>
              </w:rPr>
            </w:pPr>
            <w:r>
              <w:rPr>
                <w:sz w:val="16"/>
                <w:lang w:val="en-IN" w:eastAsia="en-IN"/>
              </w:rPr>
              <w:t>Corrects references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SP-23</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6.1.0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6.1.1</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lang w:val="en-IN" w:eastAsia="en-IN"/>
              </w:rPr>
            </w:pPr>
            <w:r>
              <w:rPr>
                <w:sz w:val="16"/>
                <w:lang w:val="en-IN" w:eastAsia="en-IN"/>
              </w:rPr>
              <w:t>Corrects Release shown on cover page</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SP-24</w:t>
            </w:r>
          </w:p>
        </w:tc>
        <w:tc>
          <w:tcPr>
            <w:tcW w:w="765"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6.1.1</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020</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SP-040310</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6.2.0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lang w:val="en-IN" w:eastAsia="en-IN"/>
              </w:rPr>
            </w:pPr>
            <w:r>
              <w:rPr>
                <w:sz w:val="16"/>
                <w:lang w:val="en-IN" w:eastAsia="en-IN"/>
              </w:rPr>
              <w:t>Rlease planning: target date setting</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lang w:val="en-IN" w:eastAsia="en-IN"/>
              </w:rPr>
            </w:pPr>
            <w:r>
              <w:rPr>
                <w:sz w:val="16"/>
                <w:lang w:val="en-IN" w:eastAsia="en-IN"/>
              </w:rPr>
              <w:t>Editorial: Correction of second clause 6.0.2 to 6.0.3.</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SP-25</w:t>
            </w:r>
          </w:p>
        </w:tc>
        <w:tc>
          <w:tcPr>
            <w:tcW w:w="765"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6.2.0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021 r3</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SP-040705</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6.3.0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lang w:val="en-IN" w:eastAsia="en-IN"/>
              </w:rPr>
            </w:pPr>
            <w:r>
              <w:rPr>
                <w:sz w:val="16"/>
                <w:lang w:val="en-IN" w:eastAsia="en-IN"/>
              </w:rPr>
              <w:t>Introduction of "Early Implementation" process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024</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SP-040706</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lang w:val="en-IN" w:eastAsia="en-IN"/>
              </w:rPr>
            </w:pPr>
            <w:r>
              <w:rPr>
                <w:sz w:val="16"/>
                <w:lang w:val="en-IN" w:eastAsia="en-IN"/>
              </w:rPr>
              <w:t>Improved tracking of Work Item status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SP-26</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6.3.0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SP-040824</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7.0.0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szCs w:val="16"/>
                <w:lang w:val="en-IN" w:eastAsia="en-IN"/>
              </w:rPr>
            </w:pPr>
            <w:r>
              <w:rPr>
                <w:sz w:val="16"/>
                <w:szCs w:val="16"/>
                <w:lang w:val="en-IN" w:eastAsia="en-IN"/>
              </w:rPr>
              <w:t>Editorial clarification of version numbering system, upgrade to Rel-7</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SP-28</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7.0.0</w:t>
            </w:r>
          </w:p>
        </w:tc>
        <w:tc>
          <w:tcPr>
            <w:tcW w:w="79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7.0.1</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szCs w:val="16"/>
                <w:lang w:val="en-IN" w:eastAsia="en-IN"/>
              </w:rPr>
            </w:pPr>
            <w:r>
              <w:rPr>
                <w:sz w:val="16"/>
                <w:szCs w:val="16"/>
                <w:lang w:val="en-IN" w:eastAsia="en-IN"/>
              </w:rPr>
              <w:t>Editorial corrections to harmonize use of capitalization plus a typographical error</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SP-29</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7.0.1</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028</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SP-050537</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7.1.0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szCs w:val="16"/>
                <w:lang w:val="en-IN" w:eastAsia="en-IN"/>
              </w:rPr>
            </w:pPr>
            <w:r>
              <w:rPr>
                <w:sz w:val="16"/>
                <w:szCs w:val="16"/>
                <w:lang w:val="en-IN" w:eastAsia="en-IN"/>
              </w:rPr>
              <w:t>Introduction of the concept of "study item"</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SP-32</w:t>
            </w:r>
          </w:p>
        </w:tc>
        <w:tc>
          <w:tcPr>
            <w:tcW w:w="765"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7.1.0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029</w:t>
            </w:r>
          </w:p>
        </w:tc>
        <w:tc>
          <w:tcPr>
            <w:tcW w:w="1134" w:type="dxa"/>
            <w:vMerge w:val="restart"/>
            <w:tcBorders>
              <w:top w:val="single" w:sz="6" w:space="0" w:color="000000"/>
              <w:start w:val="single" w:sz="6" w:space="0" w:color="000000"/>
              <w:bottom w:val="single" w:sz="6" w:space="0" w:color="000000"/>
              <w:end w:val="single" w:sz="6" w:space="0" w:color="000000"/>
            </w:tcBorders>
            <w:vAlign w:val="center"/>
          </w:tcPr>
          <w:p>
            <w:pPr>
              <w:pStyle w:val="TAL"/>
              <w:rPr>
                <w:sz w:val="16"/>
                <w:lang w:val="en-AU"/>
              </w:rPr>
            </w:pPr>
            <w:r>
              <w:rPr>
                <w:sz w:val="16"/>
                <w:lang w:val="en-AU"/>
              </w:rPr>
              <w:t>SP-060403</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7.2.0</w:t>
            </w:r>
          </w:p>
        </w:tc>
        <w:tc>
          <w:tcPr>
            <w:tcW w:w="4893" w:type="dxa"/>
            <w:tcBorders>
              <w:top w:val="single" w:sz="6" w:space="0" w:color="000000"/>
              <w:start w:val="single" w:sz="6" w:space="0" w:color="000000"/>
              <w:bottom w:val="single" w:sz="6" w:space="0" w:color="000000"/>
              <w:end w:val="single" w:sz="6" w:space="0" w:color="000000"/>
            </w:tcBorders>
          </w:tcPr>
          <w:p>
            <w:pPr>
              <w:pStyle w:val="TAL"/>
              <w:rPr>
                <w:sz w:val="16"/>
                <w:szCs w:val="16"/>
                <w:lang w:val="en-IN" w:eastAsia="en-IN"/>
              </w:rPr>
            </w:pPr>
            <w:r>
              <w:rPr>
                <w:lang w:val="en-IN" w:eastAsia="en-IN"/>
              </w:rPr>
              <w:t>Inclusion of "study item" in definition of "work item"</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szCs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030</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TAL"/>
              <w:snapToGrid w:val="false"/>
              <w:rPr>
                <w:sz w:val="16"/>
                <w:lang w:val="en-AU"/>
              </w:rPr>
            </w:pPr>
            <w:r>
              <w:rPr>
                <w:sz w:val="16"/>
                <w:lang w:val="en-AU"/>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Change "short" to "long" WG abbreviations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031 r1</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TAL"/>
              <w:snapToGrid w:val="false"/>
              <w:rPr>
                <w:sz w:val="16"/>
                <w:lang w:val="en-AU"/>
              </w:rPr>
            </w:pPr>
            <w:r>
              <w:rPr>
                <w:sz w:val="16"/>
                <w:lang w:val="en-AU"/>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Correct references to obsolete TSG.</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032</w:t>
            </w:r>
          </w:p>
        </w:tc>
        <w:tc>
          <w:tcPr>
            <w:tcW w:w="1134" w:type="dxa"/>
            <w:vMerge w:val="continue"/>
            <w:tcBorders>
              <w:top w:val="single" w:sz="6" w:space="0" w:color="000000"/>
              <w:start w:val="single" w:sz="6" w:space="0" w:color="000000"/>
              <w:bottom w:val="single" w:sz="6" w:space="0" w:color="000000"/>
              <w:end w:val="single" w:sz="6" w:space="0" w:color="000000"/>
            </w:tcBorders>
            <w:vAlign w:val="center"/>
          </w:tcPr>
          <w:p>
            <w:pPr>
              <w:pStyle w:val="TAL"/>
              <w:snapToGrid w:val="false"/>
              <w:rPr>
                <w:sz w:val="16"/>
                <w:lang w:val="en-AU"/>
              </w:rPr>
            </w:pPr>
            <w:r>
              <w:rPr>
                <w:sz w:val="16"/>
                <w:lang w:val="en-AU"/>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Registration of code points with external bodies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SP-37</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7.2.0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034 r2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SP-070703</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8.0.0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Alignment of working methods with alignment CR practice agreed in TSG SA #36</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SP-38</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8.0.0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035</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SP-070900</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8.1.0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Addition of 36.-series to Specs series table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8.1.0</w:t>
            </w:r>
          </w:p>
        </w:tc>
        <w:tc>
          <w:tcPr>
            <w:tcW w:w="79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8.1.1</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Correct typo in previous entry in history table</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SP-39</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8.1.1</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036 r2</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SP-080079</w:t>
            </w:r>
          </w:p>
        </w:tc>
        <w:tc>
          <w:tcPr>
            <w:tcW w:w="851" w:type="dxa"/>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8.2.0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Clarification of version nomenclature</w:t>
            </w:r>
          </w:p>
        </w:tc>
      </w:tr>
      <w:tr>
        <w:trPr>
          <w:cantSplit/>
        </w:trPr>
        <w:tc>
          <w:tcPr>
            <w:tcW w:w="959"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SP-42</w:t>
            </w:r>
          </w:p>
        </w:tc>
        <w:tc>
          <w:tcPr>
            <w:tcW w:w="765"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fr-FR"/>
              </w:rPr>
            </w:pPr>
            <w:r>
              <w:rPr>
                <w:sz w:val="16"/>
                <w:lang w:val="fr-FR"/>
              </w:rPr>
              <w:t>8.2.0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037 r3</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SP-080897</w:t>
            </w:r>
          </w:p>
        </w:tc>
        <w:tc>
          <w:tcPr>
            <w:tcW w:w="851"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sz w:val="16"/>
                <w:lang w:val="en-AU"/>
              </w:rPr>
            </w:pPr>
            <w:r>
              <w:rPr>
                <w:sz w:val="16"/>
                <w:lang w:val="en-AU"/>
              </w:rPr>
              <w:t>8.3.0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Determination of freeze dates for stages of a Release. (Correction recommended by OP ad hoc group on improvements.)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038 r1</w:t>
            </w:r>
          </w:p>
        </w:tc>
        <w:tc>
          <w:tcPr>
            <w:tcW w:w="1134" w:type="dxa"/>
            <w:vMerge w:val="restart"/>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SP-080721</w:t>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Cross-TSG work coordination. (Correction recommended by OP ad hoc group on improvements.)</w:t>
            </w:r>
          </w:p>
        </w:tc>
      </w:tr>
      <w:tr>
        <w:trPr>
          <w:cantSplit/>
        </w:trPr>
        <w:tc>
          <w:tcPr>
            <w:tcW w:w="959"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lang w:val="en-AU" w:eastAsia="en-IN"/>
              </w:rPr>
            </w:r>
          </w:p>
        </w:tc>
        <w:tc>
          <w:tcPr>
            <w:tcW w:w="765"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rPr>
            </w:pPr>
            <w:r>
              <w:rPr>
                <w:sz w:val="16"/>
              </w:rPr>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039 r2</w:t>
            </w:r>
          </w:p>
        </w:tc>
        <w:tc>
          <w:tcPr>
            <w:tcW w:w="1134"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51"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sz w:val="16"/>
                <w:lang w:val="en-AU"/>
              </w:rPr>
            </w:pPr>
            <w:r>
              <w:rPr>
                <w:sz w:val="16"/>
                <w:lang w:val="en-AU"/>
              </w:rPr>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Introduction of concept of "exception sheets" for late-running work items</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SP-46</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8.3.0</w:t>
            </w:r>
          </w:p>
        </w:tc>
        <w:tc>
          <w:tcPr>
            <w:tcW w:w="79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9.0.0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Upgrade without technical change to Rel-9</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SP-51</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9.0.0</w:t>
            </w:r>
          </w:p>
        </w:tc>
        <w:tc>
          <w:tcPr>
            <w:tcW w:w="79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1134" w:type="dxa"/>
            <w:tcBorders>
              <w:top w:val="single" w:sz="6" w:space="0" w:color="000000"/>
              <w:start w:val="single" w:sz="6" w:space="0" w:color="000000"/>
              <w:bottom w:val="single" w:sz="6" w:space="0" w:color="000000"/>
              <w:end w:val="single" w:sz="6" w:space="0" w:color="000000"/>
            </w:tcBorders>
          </w:tcPr>
          <w:p>
            <w:pPr>
              <w:pStyle w:val="TAL"/>
              <w:snapToGrid w:val="false"/>
              <w:rPr>
                <w:sz w:val="16"/>
                <w:lang w:val="en-AU"/>
              </w:rPr>
            </w:pPr>
            <w:r>
              <w:rPr>
                <w:sz w:val="16"/>
                <w:lang w:val="en-AU"/>
              </w:rPr>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10.0.0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Upgrade without technical change to Rel-10</w:t>
            </w:r>
          </w:p>
        </w:tc>
      </w:tr>
      <w:tr>
        <w:trPr>
          <w:cantSplit/>
        </w:trPr>
        <w:tc>
          <w:tcPr>
            <w:tcW w:w="959"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SP-54</w:t>
            </w:r>
          </w:p>
        </w:tc>
        <w:tc>
          <w:tcPr>
            <w:tcW w:w="765" w:type="dxa"/>
            <w:tcBorders>
              <w:top w:val="single" w:sz="6" w:space="0" w:color="000000"/>
              <w:start w:val="single" w:sz="6" w:space="0" w:color="000000"/>
              <w:bottom w:val="single" w:sz="6" w:space="0" w:color="000000"/>
              <w:end w:val="single" w:sz="6" w:space="0" w:color="000000"/>
            </w:tcBorders>
          </w:tcPr>
          <w:p>
            <w:pPr>
              <w:pStyle w:val="TAL"/>
              <w:rPr>
                <w:sz w:val="16"/>
              </w:rPr>
            </w:pPr>
            <w:r>
              <w:rPr>
                <w:sz w:val="16"/>
              </w:rPr>
              <w:t>10.0.0</w:t>
            </w:r>
          </w:p>
        </w:tc>
        <w:tc>
          <w:tcPr>
            <w:tcW w:w="79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046</w:t>
            </w:r>
          </w:p>
        </w:tc>
        <w:tc>
          <w:tcPr>
            <w:tcW w:w="1134"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SP-110802</w:t>
            </w:r>
          </w:p>
        </w:tc>
        <w:tc>
          <w:tcPr>
            <w:tcW w:w="851" w:type="dxa"/>
            <w:tcBorders>
              <w:top w:val="single" w:sz="6" w:space="0" w:color="000000"/>
              <w:start w:val="single" w:sz="6" w:space="0" w:color="000000"/>
              <w:bottom w:val="single" w:sz="6" w:space="0" w:color="000000"/>
              <w:end w:val="single" w:sz="6" w:space="0" w:color="000000"/>
            </w:tcBorders>
          </w:tcPr>
          <w:p>
            <w:pPr>
              <w:pStyle w:val="TAL"/>
              <w:rPr>
                <w:sz w:val="16"/>
                <w:lang w:val="en-AU"/>
              </w:rPr>
            </w:pPr>
            <w:r>
              <w:rPr>
                <w:sz w:val="16"/>
                <w:lang w:val="en-AU"/>
              </w:rPr>
              <w:t>10.1.0</w:t>
            </w:r>
          </w:p>
        </w:tc>
        <w:tc>
          <w:tcPr>
            <w:tcW w:w="4893"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Eliminate contents of Rel-10 and substitute with pointer to Rel-11</w:t>
            </w:r>
          </w:p>
        </w:tc>
      </w:tr>
    </w:tbl>
    <w:p>
      <w:pPr>
        <w:pStyle w:val="Normal"/>
        <w:spacing w:before="0" w:after="180"/>
        <w:rPr>
          <w:lang w:val="en-AU"/>
        </w:rPr>
      </w:pPr>
      <w:r>
        <w:rPr>
          <w:lang w:val="en-AU"/>
        </w:rPr>
      </w:r>
    </w:p>
    <w:sectPr>
      <w:headerReference w:type="default" r:id="rId9"/>
      <w:headerReference w:type="first" r:id="rId10"/>
      <w:footerReference w:type="default" r:id="rId11"/>
      <w:type w:val="nextPage"/>
      <w:pgSz w:w="11906" w:h="16838"/>
      <w:pgMar w:left="1134" w:right="1134" w:gutter="0" w:header="680" w:top="1418" w:footer="34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284"/>
        <w:tab w:val="center" w:pos="4153" w:leader="none"/>
        <w:tab w:val="right" w:pos="8306" w:leader="none"/>
      </w:tabs>
      <w:spacing w:before="0" w:after="1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64135" cy="131445"/>
              <wp:effectExtent l="0" t="0" r="0" b="0"/>
              <wp:wrapSquare wrapText="bothSides"/>
              <wp:docPr id="13" name="Frame1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r>
      <mc:AlternateContent>
        <mc:Choice Requires="wps">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283"/>
        </w:tabs>
        <w:ind w:start="567" w:hanging="283"/>
      </w:pPr>
      <w:rPr>
        <w:rFonts w:ascii="Symbol" w:hAnsi="Symbol" w:cs="Symbol" w:hint="default"/>
      </w:rPr>
    </w:lvl>
  </w:abstractNum>
  <w:abstractNum w:abstractNumId="3">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start="1134" w:end="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Arial" w:hAnsi="Arial" w:cs="Arial"/>
      <w:sz w:val="20"/>
    </w:rPr>
  </w:style>
  <w:style w:type="character" w:styleId="WW8Num11z0">
    <w:name w:val="WW8Num11z0"/>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WW8NumSt6z0">
    <w:name w:val="WW8NumSt6z0"/>
    <w:qFormat/>
    <w:rPr>
      <w:rFonts w:ascii="Arial" w:hAnsi="Arial" w:cs="Arial"/>
      <w:sz w:val="20"/>
    </w:rPr>
  </w:style>
  <w:style w:type="character" w:styleId="WW8NumSt7z0">
    <w:name w:val="WW8NumSt7z0"/>
    <w:qFormat/>
    <w:rPr>
      <w:rFonts w:ascii="Symbol" w:hAnsi="Symbol" w:cs="Symbol"/>
    </w:rPr>
  </w:style>
  <w:style w:type="character" w:styleId="WW8NumSt8z0">
    <w:name w:val="WW8NumSt8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ommentReference">
    <w:name w:val="Comment Reference"/>
    <w:basedOn w:val="DefaultParagraphFont"/>
    <w:qFormat/>
    <w:rPr>
      <w:sz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overflowPunct w:val="false"/>
      <w:autoSpaceDE w:val="false"/>
      <w:bidi w:val="0"/>
      <w:spacing w:before="120" w:after="0"/>
      <w:ind w:hanging="567" w:start="567" w:end="425"/>
      <w:textAlignment w:val="baseline"/>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IN"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IN" w:bidi="ar-SA"/>
    </w:rPr>
  </w:style>
  <w:style w:type="paragraph" w:styleId="ZB">
    <w:name w:val="ZB"/>
    <w:qFormat/>
    <w:pPr>
      <w:widowControl w:val="false"/>
      <w:overflowPunct w:val="false"/>
      <w:autoSpaceDE w:val="false"/>
      <w:bidi w:val="0"/>
      <w:ind w:hanging="0" w:start="0" w:end="28"/>
      <w:jc w:val="end"/>
      <w:textAlignment w:val="baseline"/>
    </w:pPr>
    <w:rPr>
      <w:rFonts w:ascii="Arial" w:hAnsi="Arial" w:eastAsia="Times New Roman" w:cs="Arial"/>
      <w:i/>
      <w:color w:val="auto"/>
      <w:sz w:val="20"/>
      <w:szCs w:val="20"/>
      <w:lang w:val="en-GB" w:eastAsia="en-IN"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hanging="0" w:start="851" w:end="0"/>
    </w:pPr>
    <w:rPr/>
  </w:style>
  <w:style w:type="paragraph" w:styleId="INDENT2">
    <w:name w:val="INDENT2"/>
    <w:basedOn w:val="Normal"/>
    <w:qFormat/>
    <w:pPr>
      <w:numPr>
        <w:ilvl w:val="0"/>
        <w:numId w:val="7"/>
      </w:numPr>
      <w:ind w:hanging="284" w:start="1135" w:end="0"/>
    </w:pPr>
    <w:rPr/>
  </w:style>
  <w:style w:type="paragraph" w:styleId="INDENT3">
    <w:name w:val="INDENT3"/>
    <w:basedOn w:val="Normal"/>
    <w:qFormat/>
    <w:pPr>
      <w:ind w:hanging="567" w:start="1701" w:end="0"/>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hanging="397" w:start="1588" w:end="0"/>
      <w:jc w:val="both"/>
    </w:pPr>
    <w:rPr>
      <w:lang w:val="en-US"/>
    </w:rPr>
  </w:style>
  <w:style w:type="paragraph" w:styleId="CouvRecTitle">
    <w:name w:val="Couv Rec Title"/>
    <w:basedOn w:val="Normal"/>
    <w:qFormat/>
    <w:pPr>
      <w:keepNext w:val="true"/>
      <w:keepLines/>
      <w:spacing w:before="240" w:after="180"/>
      <w:ind w:hanging="0" w:start="1418" w:end="0"/>
    </w:pPr>
    <w:rPr>
      <w:rFonts w:ascii="Arial" w:hAnsi="Arial" w:cs="Arial"/>
      <w:b/>
      <w:sz w:val="36"/>
      <w:lang w:val="en-US"/>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CRfront">
    <w:name w:val="CR_front"/>
    <w:next w:val="Normal"/>
    <w:qFormat/>
    <w:pPr>
      <w:widowControl/>
      <w:bidi w:val="0"/>
    </w:pPr>
    <w:rPr>
      <w:rFonts w:ascii="Arial" w:hAnsi="Arial" w:eastAsia="Times New Roman" w:cs="Arial"/>
      <w:color w:val="auto"/>
      <w:sz w:val="20"/>
      <w:szCs w:val="20"/>
      <w:lang w:val="en-GB" w:bidi="ar-SA" w:eastAsia="zh-CN"/>
    </w:rPr>
  </w:style>
  <w:style w:type="paragraph" w:styleId="NOTE">
    <w:name w:val="NOTE"/>
    <w:qFormat/>
    <w:pPr>
      <w:widowControl/>
      <w:tabs>
        <w:tab w:val="clear" w:pos="284"/>
        <w:tab w:val="left" w:pos="1701" w:leader="none"/>
      </w:tabs>
      <w:bidi w:val="0"/>
      <w:spacing w:lineRule="exact" w:line="240" w:before="0" w:after="240"/>
      <w:ind w:hanging="1134" w:start="1701" w:end="0"/>
      <w:jc w:val="both"/>
    </w:pPr>
    <w:rPr>
      <w:rFonts w:ascii="Times New Roman" w:hAnsi="Times New Roman" w:eastAsia="Times New Roman" w:cs="Times New Roman"/>
      <w:color w:val="auto"/>
      <w:sz w:val="20"/>
      <w:szCs w:val="20"/>
      <w:lang w:val="en-GB" w:bidi="ar-SA" w:eastAsia="zh-CN"/>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jpeg"/><Relationship Id="rId4" Type="http://schemas.openxmlformats.org/officeDocument/2006/relationships/oleObject" Target="embeddings/oleObject1.bin"/><Relationship Id="rId5" Type="http://schemas.openxmlformats.org/officeDocument/2006/relationships/image" Target="media/image2.emf"/><Relationship Id="rId6" Type="http://schemas.openxmlformats.org/officeDocument/2006/relationships/image" Target="media/image1.jpeg"/><Relationship Id="rId7" Type="http://schemas.openxmlformats.org/officeDocument/2006/relationships/oleObject" Target="embeddings/oleObject2.bin"/><Relationship Id="rId8" Type="http://schemas.openxmlformats.org/officeDocument/2006/relationships/image" Target="media/image2.emf"/><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63</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2005-06-24T02:48:00Z</dcterms:created>
  <dc:creator>MCC Support</dc:creator>
  <dc:description/>
  <cp:keywords>GSM UMTS LTE methodology</cp:keywords>
  <dc:language>en-IN</dc:language>
  <cp:lastModifiedBy>John M Meredith</cp:lastModifiedBy>
  <cp:lastPrinted>2000-06-30T16:27:00Z</cp:lastPrinted>
  <dcterms:modified xsi:type="dcterms:W3CDTF">2011-12-16T20:42:00Z</dcterms:modified>
  <cp:revision>35</cp:revision>
  <dc:subject>Technical Specification Group working methods (Release 10)</dc:subject>
  <dc:title>3GPP TR 21.900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