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u24e8w2xlttd" w:id="0"/>
      <w:bookmarkEnd w:id="0"/>
      <w:r w:rsidDel="00000000" w:rsidR="00000000" w:rsidRPr="00000000">
        <w:rPr>
          <w:rtl w:val="0"/>
        </w:rPr>
        <w:t xml:space="preserve">Tendencias Globales de Capital Humano 2026: Elegir la Ventaja Humana</w:t>
      </w:r>
    </w:p>
    <w:p w:rsidR="00000000" w:rsidDel="00000000" w:rsidP="00000000" w:rsidRDefault="00000000" w:rsidRPr="00000000" w14:paraId="00000002">
      <w:pPr>
        <w:pStyle w:val="Heading4"/>
        <w:rPr/>
      </w:pPr>
      <w:bookmarkStart w:colFirst="0" w:colLast="0" w:name="_kqhy46y9awot" w:id="1"/>
      <w:bookmarkEnd w:id="1"/>
      <w:r w:rsidDel="00000000" w:rsidR="00000000" w:rsidRPr="00000000">
        <w:rPr>
          <w:rtl w:val="0"/>
        </w:rPr>
        <w:t xml:space="preserve">Resumen Ejecutivo</w:t>
      </w:r>
    </w:p>
    <w:p w:rsidR="00000000" w:rsidDel="00000000" w:rsidP="00000000" w:rsidRDefault="00000000" w:rsidRPr="00000000" w14:paraId="00000003">
      <w:pPr>
        <w:rPr/>
      </w:pPr>
      <w:r w:rsidDel="00000000" w:rsidR="00000000" w:rsidRPr="00000000">
        <w:rPr>
          <w:rtl w:val="0"/>
        </w:rPr>
        <w:t xml:space="preserve">El informe de Deloitte "Tendencias Globales de Capital Humano 2026" postula que las organizaciones se encuentran en un punto de inflexión crítico. La evolución tradicional de los negocios, definida por la "curva S", se está comprimiendo debido a la IA y la transformación acelerada, obligando a las empresas a realizar saltos competitivos con mayor rapidez.La tesis central es que, en un mundo donde la tecnología es ubicua y replicable, la  </w:t>
      </w:r>
      <w:r w:rsidDel="00000000" w:rsidR="00000000" w:rsidRPr="00000000">
        <w:rPr>
          <w:b w:val="1"/>
          <w:bCs w:val="1"/>
          <w:rtl w:val="0"/>
        </w:rPr>
        <w:t xml:space="preserve">ventaja humana</w:t>
      </w:r>
      <w:r w:rsidDel="00000000" w:rsidR="00000000" w:rsidRPr="00000000">
        <w:rPr>
          <w:rtl w:val="0"/>
        </w:rPr>
        <w:t xml:space="preserve">  (creatividad, juicio y adaptabilidad) es el único diferenciador sostenible. El análisis revela una brecha alarmante: aunque la mayoría de los líderes reconocen la importancia de estas tendencias, solo una fracción mínima (entre el 5% y el 7%) está logrando un progreso significativo. El éxito dependerá de pasar de un enfoque puramente tecnológico a uno centrado en el ser humano, lo cual aumenta en  </w:t>
      </w:r>
      <w:r w:rsidDel="00000000" w:rsidR="00000000" w:rsidRPr="00000000">
        <w:rPr>
          <w:b w:val="1"/>
          <w:bCs w:val="1"/>
          <w:rtl w:val="0"/>
        </w:rPr>
        <w:t xml:space="preserve">1.6 veces</w:t>
      </w:r>
      <w:r w:rsidDel="00000000" w:rsidR="00000000" w:rsidRPr="00000000">
        <w:rPr>
          <w:rtl w:val="0"/>
        </w:rPr>
        <w:t xml:space="preserve">  la probabilidad de superar las expectativas de retorno de inversión (ROI) en IA.</w:t>
      </w:r>
    </w:p>
    <w:p w:rsidR="00000000" w:rsidDel="00000000" w:rsidP="00000000" w:rsidRDefault="00000000" w:rsidRPr="00000000" w14:paraId="00000004">
      <w:pPr>
        <w:pStyle w:val="Heading4"/>
        <w:rPr/>
      </w:pPr>
      <w:bookmarkStart w:colFirst="0" w:colLast="0" w:name="_wr92edu6k1ao" w:id="2"/>
      <w:bookmarkEnd w:id="2"/>
      <w:r w:rsidDel="00000000" w:rsidR="00000000" w:rsidRPr="00000000">
        <w:rPr>
          <w:rtl w:val="0"/>
        </w:rPr>
        <w:t xml:space="preserve">1. La Compresión de la Curva S y el Salto Competitivo</w:t>
      </w:r>
    </w:p>
    <w:p w:rsidR="00000000" w:rsidDel="00000000" w:rsidP="00000000" w:rsidRDefault="00000000" w:rsidRPr="00000000" w14:paraId="00000005">
      <w:pPr>
        <w:rPr/>
      </w:pPr>
      <w:r w:rsidDel="00000000" w:rsidR="00000000" w:rsidRPr="00000000">
        <w:rPr>
          <w:rtl w:val="0"/>
        </w:rPr>
        <w:t xml:space="preserve">Tradicionalmente, las empresas seguían un ciclo de crecimiento gradual, aceleración y meseta. Hoy, ese ciclo se ha acortado drásticamente.</w:t>
      </w:r>
    </w:p>
    <w:p w:rsidR="00000000" w:rsidDel="00000000" w:rsidP="00000000" w:rsidRDefault="00000000" w:rsidRPr="00000000" w14:paraId="00000006">
      <w:pPr>
        <w:numPr>
          <w:ilvl w:val="0"/>
          <w:numId w:val="4"/>
        </w:numPr>
        <w:ind w:left="720" w:hanging="360"/>
        <w:rPr>
          <w:u w:val="none"/>
        </w:rPr>
      </w:pPr>
      <w:r w:rsidDel="00000000" w:rsidR="00000000" w:rsidRPr="00000000">
        <w:rPr>
          <w:b w:val="1"/>
          <w:bCs w:val="1"/>
          <w:rtl w:val="0"/>
        </w:rPr>
        <w:t xml:space="preserve">Velocidad y Agilidad:</w:t>
      </w:r>
      <w:r w:rsidDel="00000000" w:rsidR="00000000" w:rsidRPr="00000000">
        <w:rPr>
          <w:rtl w:val="0"/>
        </w:rPr>
        <w:t xml:space="preserve">  El 70% de los líderes empresariales afirma que su estrategia competitiva principal para los próximos tres años es ser rápidos y ágiles para capitalizar las necesidades cambiantes del mercado.</w:t>
      </w:r>
    </w:p>
    <w:p w:rsidR="00000000" w:rsidDel="00000000" w:rsidP="00000000" w:rsidRDefault="00000000" w:rsidRPr="00000000" w14:paraId="00000007">
      <w:pPr>
        <w:numPr>
          <w:ilvl w:val="0"/>
          <w:numId w:val="4"/>
        </w:numPr>
        <w:ind w:left="720" w:hanging="360"/>
        <w:rPr>
          <w:u w:val="none"/>
        </w:rPr>
      </w:pPr>
      <w:r w:rsidDel="00000000" w:rsidR="00000000" w:rsidRPr="00000000">
        <w:rPr>
          <w:b w:val="1"/>
          <w:bCs w:val="1"/>
          <w:rtl w:val="0"/>
        </w:rPr>
        <w:t xml:space="preserve">El Factor Diferenciador:</w:t>
      </w:r>
      <w:r w:rsidDel="00000000" w:rsidR="00000000" w:rsidRPr="00000000">
        <w:rPr>
          <w:rtl w:val="0"/>
        </w:rPr>
        <w:t xml:space="preserve">  Históricamente, las organizaciones "saltaban" a la siguiente curva de crecimiento adoptando nueva tecnología. En 2026, la diferenciación no vendrá de la tecnología en sí, sino de cultivar el "borde humano".</w:t>
      </w:r>
    </w:p>
    <w:p w:rsidR="00000000" w:rsidDel="00000000" w:rsidP="00000000" w:rsidRDefault="00000000" w:rsidRPr="00000000" w14:paraId="00000008">
      <w:pPr>
        <w:numPr>
          <w:ilvl w:val="0"/>
          <w:numId w:val="4"/>
        </w:numPr>
        <w:ind w:left="720" w:hanging="360"/>
        <w:rPr>
          <w:u w:val="none"/>
        </w:rPr>
      </w:pPr>
      <w:r w:rsidDel="00000000" w:rsidR="00000000" w:rsidRPr="00000000">
        <w:rPr>
          <w:b w:val="1"/>
          <w:bCs w:val="1"/>
          <w:rtl w:val="0"/>
        </w:rPr>
        <w:t xml:space="preserve">Enfoque Humano vs. Tecnológico:</w:t>
      </w:r>
      <w:r w:rsidDel="00000000" w:rsidR="00000000" w:rsidRPr="00000000">
        <w:rPr>
          <w:rtl w:val="0"/>
        </w:rPr>
        <w:t xml:space="preserve">  El 59% de las organizaciones sigue un enfoque centrado en la tecnología para la IA, pero aquellas que optan por un enfoque centrado en el humano tienen muchas más probabilidades de obtener retornos superiores.</w:t>
      </w:r>
    </w:p>
    <w:p w:rsidR="00000000" w:rsidDel="00000000" w:rsidP="00000000" w:rsidRDefault="00000000" w:rsidRPr="00000000" w14:paraId="00000009">
      <w:pPr>
        <w:pStyle w:val="Heading4"/>
        <w:rPr/>
      </w:pPr>
      <w:bookmarkStart w:colFirst="0" w:colLast="0" w:name="_chrwavfce1q9" w:id="3"/>
      <w:bookmarkEnd w:id="3"/>
      <w:r w:rsidDel="00000000" w:rsidR="00000000" w:rsidRPr="00000000">
        <w:rPr>
          <w:rtl w:val="0"/>
        </w:rPr>
        <w:t xml:space="preserve">2. Puntos de Inflexión: De las Tensiones a la Acción</w:t>
      </w:r>
    </w:p>
    <w:p w:rsidR="00000000" w:rsidDel="00000000" w:rsidP="00000000" w:rsidRDefault="00000000" w:rsidRPr="00000000" w14:paraId="0000000A">
      <w:pPr>
        <w:rPr/>
      </w:pPr>
      <w:r w:rsidDel="00000000" w:rsidR="00000000" w:rsidRPr="00000000">
        <w:rPr>
          <w:rtl w:val="0"/>
        </w:rPr>
        <w:t xml:space="preserve">El informe identifica tres áreas donde las organizaciones ya no pueden postergar decisiones estratégicas:</w:t>
      </w:r>
    </w:p>
    <w:p w:rsidR="00000000" w:rsidDel="00000000" w:rsidP="00000000" w:rsidRDefault="00000000" w:rsidRPr="00000000" w14:paraId="0000000B">
      <w:pPr>
        <w:pStyle w:val="Heading5"/>
        <w:rPr/>
      </w:pPr>
      <w:bookmarkStart w:colFirst="0" w:colLast="0" w:name="_v9cnm112n4mj" w:id="4"/>
      <w:bookmarkEnd w:id="4"/>
      <w:r w:rsidDel="00000000" w:rsidR="00000000" w:rsidRPr="00000000">
        <w:rPr>
          <w:rtl w:val="0"/>
        </w:rPr>
        <w:t xml:space="preserve">De Humano + Máquina a Humano x Máquina</w:t>
      </w:r>
    </w:p>
    <w:p w:rsidR="00000000" w:rsidDel="00000000" w:rsidP="00000000" w:rsidRDefault="00000000" w:rsidRPr="00000000" w14:paraId="0000000C">
      <w:pPr>
        <w:rPr/>
      </w:pPr>
      <w:r w:rsidDel="00000000" w:rsidR="00000000" w:rsidRPr="00000000">
        <w:rPr>
          <w:rtl w:val="0"/>
        </w:rPr>
        <w:t xml:space="preserve">La frontera entre humanos y máquinas se está desdibujando. El objetivo no es que trabajen lado a lado, sino en sinergia.</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Diseño Intencional:</w:t>
      </w:r>
      <w:r w:rsidDel="00000000" w:rsidR="00000000" w:rsidRPr="00000000">
        <w:rPr>
          <w:rtl w:val="0"/>
        </w:rPr>
        <w:t xml:space="preserve">  Solo el 6% de las organizaciones lidera en el diseño de interacciones humano-IA.</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Dimensiones del Diseño:</w:t>
      </w:r>
      <w:r w:rsidDel="00000000" w:rsidR="00000000" w:rsidRPr="00000000">
        <w:rPr>
          <w:rtl w:val="0"/>
        </w:rPr>
        <w:t xml:space="preserve">  Debe ocurrir a nivel  </w:t>
      </w:r>
      <w:r w:rsidDel="00000000" w:rsidR="00000000" w:rsidRPr="00000000">
        <w:rPr>
          <w:b w:val="1"/>
          <w:bCs w:val="1"/>
          <w:rtl w:val="0"/>
        </w:rPr>
        <w:t xml:space="preserve">macro</w:t>
      </w:r>
      <w:r w:rsidDel="00000000" w:rsidR="00000000" w:rsidRPr="00000000">
        <w:rPr>
          <w:rtl w:val="0"/>
        </w:rPr>
        <w:t xml:space="preserve">  (estrategia, gobernanza, principios éticos) y  </w:t>
      </w:r>
      <w:r w:rsidDel="00000000" w:rsidR="00000000" w:rsidRPr="00000000">
        <w:rPr>
          <w:b w:val="1"/>
          <w:bCs w:val="1"/>
          <w:rtl w:val="0"/>
        </w:rPr>
        <w:t xml:space="preserve">micro</w:t>
      </w:r>
      <w:r w:rsidDel="00000000" w:rsidR="00000000" w:rsidRPr="00000000">
        <w:rPr>
          <w:rtl w:val="0"/>
        </w:rPr>
        <w:t xml:space="preserve">  (flujos de trabajo específicos, roles y tipos de relación).</w:t>
      </w:r>
    </w:p>
    <w:p w:rsidR="00000000" w:rsidDel="00000000" w:rsidP="00000000" w:rsidRDefault="00000000" w:rsidRPr="00000000" w14:paraId="0000000F">
      <w:pPr>
        <w:pStyle w:val="Heading5"/>
        <w:rPr/>
      </w:pPr>
      <w:bookmarkStart w:colFirst="0" w:colLast="0" w:name="_tf456e569jex" w:id="5"/>
      <w:bookmarkEnd w:id="5"/>
      <w:r w:rsidDel="00000000" w:rsidR="00000000" w:rsidRPr="00000000">
        <w:rPr>
          <w:rtl w:val="0"/>
        </w:rPr>
        <w:t xml:space="preserve">De la Eficiencia de Costos a la Creación de Valor</w:t>
      </w:r>
    </w:p>
    <w:p w:rsidR="00000000" w:rsidDel="00000000" w:rsidP="00000000" w:rsidRDefault="00000000" w:rsidRPr="00000000" w14:paraId="00000010">
      <w:pPr>
        <w:rPr/>
      </w:pPr>
      <w:r w:rsidDel="00000000" w:rsidR="00000000" w:rsidRPr="00000000">
        <w:rPr>
          <w:rtl w:val="0"/>
        </w:rPr>
        <w:t xml:space="preserve">La presión por reducir gastos está dando paso a la necesidad de invertir en donde los humanos crean un valor único e irremplazable. Las funciones organizacionales (RR.HH., TI, Finanzas) deben evolucionar para ser "aptas para el propósito" en lugar de ser silos de eficiencia.</w:t>
      </w:r>
    </w:p>
    <w:p w:rsidR="00000000" w:rsidDel="00000000" w:rsidP="00000000" w:rsidRDefault="00000000" w:rsidRPr="00000000" w14:paraId="00000011">
      <w:pPr>
        <w:pStyle w:val="Heading5"/>
        <w:rPr/>
      </w:pPr>
      <w:bookmarkStart w:colFirst="0" w:colLast="0" w:name="_vyex6dupf0n4" w:id="6"/>
      <w:bookmarkEnd w:id="6"/>
      <w:r w:rsidDel="00000000" w:rsidR="00000000" w:rsidRPr="00000000">
        <w:rPr>
          <w:rtl w:val="0"/>
        </w:rPr>
        <w:t xml:space="preserve">De Planes Estáticos a la Orquestación Dinámica</w:t>
      </w:r>
    </w:p>
    <w:p w:rsidR="00000000" w:rsidDel="00000000" w:rsidP="00000000" w:rsidRDefault="00000000" w:rsidRPr="00000000" w14:paraId="00000012">
      <w:pPr>
        <w:rPr/>
      </w:pPr>
      <w:r w:rsidDel="00000000" w:rsidR="00000000" w:rsidRPr="00000000">
        <w:rPr>
          <w:rtl w:val="0"/>
        </w:rPr>
        <w:t xml:space="preserve">La estrategia y la ejecución se están fusionando. Las organizaciones deben pasar de estructuras de trabajo fijas a la orquestación de capacidades y recursos en tiempo real.</w:t>
      </w:r>
    </w:p>
    <w:p w:rsidR="00000000" w:rsidDel="00000000" w:rsidP="00000000" w:rsidRDefault="00000000" w:rsidRPr="00000000" w14:paraId="00000013">
      <w:pPr>
        <w:pStyle w:val="Heading4"/>
        <w:rPr/>
      </w:pPr>
      <w:bookmarkStart w:colFirst="0" w:colLast="0" w:name="_kfe3b2ow1mm" w:id="7"/>
      <w:bookmarkEnd w:id="7"/>
      <w:r w:rsidDel="00000000" w:rsidR="00000000" w:rsidRPr="00000000">
        <w:rPr>
          <w:rtl w:val="0"/>
        </w:rPr>
        <w:t xml:space="preserve">3. Desafíos de la IA: Verdad, Decisión y Cultura</w:t>
      </w:r>
    </w:p>
    <w:p w:rsidR="00000000" w:rsidDel="00000000" w:rsidP="00000000" w:rsidRDefault="00000000" w:rsidRPr="00000000" w14:paraId="00000014">
      <w:pPr>
        <w:pStyle w:val="Heading5"/>
        <w:rPr/>
      </w:pPr>
      <w:bookmarkStart w:colFirst="0" w:colLast="0" w:name="_9f0wu8rx6m84" w:id="8"/>
      <w:bookmarkEnd w:id="8"/>
      <w:r w:rsidDel="00000000" w:rsidR="00000000" w:rsidRPr="00000000">
        <w:rPr>
          <w:rtl w:val="0"/>
        </w:rPr>
        <w:t xml:space="preserve">La Crisis de la Autenticidad de los Datos</w:t>
      </w:r>
    </w:p>
    <w:p w:rsidR="00000000" w:rsidDel="00000000" w:rsidP="00000000" w:rsidRDefault="00000000" w:rsidRPr="00000000" w14:paraId="00000015">
      <w:pPr>
        <w:rPr/>
      </w:pPr>
      <w:r w:rsidDel="00000000" w:rsidR="00000000" w:rsidRPr="00000000">
        <w:rPr>
          <w:rtl w:val="0"/>
        </w:rPr>
        <w:t xml:space="preserve">Las organizaciones están perdiendo la confianza en los datos de su fuerza laboral justo cuando más los necesitan.</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Desinformación a Escala:</w:t>
      </w:r>
      <w:r w:rsidDel="00000000" w:rsidR="00000000" w:rsidRPr="00000000">
        <w:rPr>
          <w:rtl w:val="0"/>
        </w:rPr>
        <w:t xml:space="preserve">  Solo el 5% de las empresas progresa en abordar la disminución de la confianza en los datos.</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Riesgos de Identidad:</w:t>
      </w:r>
      <w:r w:rsidDel="00000000" w:rsidR="00000000" w:rsidRPr="00000000">
        <w:rPr>
          <w:rtl w:val="0"/>
        </w:rPr>
        <w:t xml:space="preserve">  El 95% de los ejecutivos teme que los datos de habilidades de los candidatos sean inexactos; el 33% de los trabajadores admite usar IA para "embellecer" sus perfiles.</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"Workslop" y Cámaras de Eco:</w:t>
      </w:r>
      <w:r w:rsidDel="00000000" w:rsidR="00000000" w:rsidRPr="00000000">
        <w:rPr>
          <w:rtl w:val="0"/>
        </w:rPr>
        <w:t xml:space="preserve">  La IA puede generar resultados superficiales que enmascaran un razonamiento débil y refuerzan sesgos organizacionales previos.</w:t>
      </w:r>
    </w:p>
    <w:p w:rsidR="00000000" w:rsidDel="00000000" w:rsidP="00000000" w:rsidRDefault="00000000" w:rsidRPr="00000000" w14:paraId="00000019">
      <w:pPr>
        <w:pStyle w:val="Heading5"/>
        <w:rPr/>
      </w:pPr>
      <w:bookmarkStart w:colFirst="0" w:colLast="0" w:name="_qjtaxq9guvmi" w:id="9"/>
      <w:bookmarkEnd w:id="9"/>
      <w:r w:rsidDel="00000000" w:rsidR="00000000" w:rsidRPr="00000000">
        <w:rPr>
          <w:rtl w:val="0"/>
        </w:rPr>
        <w:t xml:space="preserve">El Futuro de la Toma de Decisiones Humana</w:t>
      </w:r>
    </w:p>
    <w:p w:rsidR="00000000" w:rsidDel="00000000" w:rsidP="00000000" w:rsidRDefault="00000000" w:rsidRPr="00000000" w14:paraId="0000001A">
      <w:pPr>
        <w:rPr/>
      </w:pPr>
      <w:r w:rsidDel="00000000" w:rsidR="00000000" w:rsidRPr="00000000">
        <w:rPr>
          <w:rtl w:val="0"/>
        </w:rPr>
        <w:t xml:space="preserve">La IA está transformando la manera en que se toman decisiones, pero a menudo corre más rápido que la supervisión organizacional.</w:t>
      </w:r>
    </w:p>
    <w:p w:rsidR="00000000" w:rsidDel="00000000" w:rsidP="00000000" w:rsidRDefault="00000000" w:rsidRPr="00000000" w14:paraId="0000001B">
      <w:pPr>
        <w:numPr>
          <w:ilvl w:val="0"/>
          <w:numId w:val="6"/>
        </w:numPr>
        <w:ind w:left="720" w:hanging="360"/>
        <w:rPr>
          <w:u w:val="none"/>
        </w:rPr>
      </w:pPr>
      <w:r w:rsidDel="00000000" w:rsidR="00000000" w:rsidRPr="00000000">
        <w:rPr>
          <w:b w:val="1"/>
          <w:bCs w:val="1"/>
          <w:rtl w:val="0"/>
        </w:rPr>
        <w:t xml:space="preserve">Disciplina Estratégica:</w:t>
      </w:r>
      <w:r w:rsidDel="00000000" w:rsidR="00000000" w:rsidRPr="00000000">
        <w:rPr>
          <w:rtl w:val="0"/>
        </w:rPr>
        <w:t xml:space="preserve">  La toma de decisiones debe tratarse como una competencia discreta que puede enseñarse y escalarse.</w:t>
      </w:r>
    </w:p>
    <w:p w:rsidR="00000000" w:rsidDel="00000000" w:rsidP="00000000" w:rsidRDefault="00000000" w:rsidRPr="00000000" w14:paraId="0000001C">
      <w:pPr>
        <w:numPr>
          <w:ilvl w:val="0"/>
          <w:numId w:val="6"/>
        </w:numPr>
        <w:ind w:left="720" w:hanging="360"/>
        <w:rPr>
          <w:u w:val="none"/>
        </w:rPr>
      </w:pPr>
      <w:r w:rsidDel="00000000" w:rsidR="00000000" w:rsidRPr="00000000">
        <w:rPr>
          <w:b w:val="1"/>
          <w:bCs w:val="1"/>
          <w:rtl w:val="0"/>
        </w:rPr>
        <w:t xml:space="preserve">Agencia Humana:</w:t>
      </w:r>
      <w:r w:rsidDel="00000000" w:rsidR="00000000" w:rsidRPr="00000000">
        <w:rPr>
          <w:rtl w:val="0"/>
        </w:rPr>
        <w:t xml:space="preserve">  Es vital definir quién tiene el derecho de decisión y cuándo un humano debe anular (override) a la IA.</w:t>
      </w:r>
    </w:p>
    <w:p w:rsidR="00000000" w:rsidDel="00000000" w:rsidP="00000000" w:rsidRDefault="00000000" w:rsidRPr="00000000" w14:paraId="0000001D">
      <w:pPr>
        <w:pStyle w:val="Heading5"/>
        <w:rPr/>
      </w:pPr>
      <w:bookmarkStart w:colFirst="0" w:colLast="0" w:name="_8gjurtlsx44u" w:id="10"/>
      <w:bookmarkEnd w:id="10"/>
      <w:r w:rsidDel="00000000" w:rsidR="00000000" w:rsidRPr="00000000">
        <w:rPr>
          <w:rtl w:val="0"/>
        </w:rPr>
        <w:t xml:space="preserve">La Deuda Cultural de la IA</w:t>
      </w:r>
    </w:p>
    <w:p w:rsidR="00000000" w:rsidDel="00000000" w:rsidP="00000000" w:rsidRDefault="00000000" w:rsidRPr="00000000" w14:paraId="0000001E">
      <w:pPr>
        <w:rPr/>
      </w:pPr>
      <w:r w:rsidDel="00000000" w:rsidR="00000000" w:rsidRPr="00000000">
        <w:rPr>
          <w:rtl w:val="0"/>
        </w:rPr>
        <w:t xml:space="preserve">El descuido de la cultura organizacional genera una "deuda" similar a la financiera, con intereses negativos en forma de desconfianza y agotamiento.</w:t>
      </w:r>
    </w:p>
    <w:p w:rsidR="00000000" w:rsidDel="00000000" w:rsidP="00000000" w:rsidRDefault="00000000" w:rsidRPr="00000000" w14:paraId="0000001F">
      <w:pPr>
        <w:numPr>
          <w:ilvl w:val="0"/>
          <w:numId w:val="5"/>
        </w:numPr>
        <w:ind w:left="720" w:hanging="360"/>
        <w:rPr>
          <w:u w:val="none"/>
        </w:rPr>
      </w:pPr>
      <w:r w:rsidDel="00000000" w:rsidR="00000000" w:rsidRPr="00000000">
        <w:rPr>
          <w:b w:val="1"/>
          <w:bCs w:val="1"/>
          <w:rtl w:val="0"/>
        </w:rPr>
        <w:t xml:space="preserve">Desconexión y Desconfianza:</w:t>
      </w:r>
      <w:r w:rsidDel="00000000" w:rsidR="00000000" w:rsidRPr="00000000">
        <w:rPr>
          <w:rtl w:val="0"/>
        </w:rPr>
        <w:t xml:space="preserve">  El 80% de los líderes y trabajadores teme que sus colegas usen IA solo para  </w:t>
      </w:r>
      <w:r w:rsidDel="00000000" w:rsidR="00000000" w:rsidRPr="00000000">
        <w:rPr>
          <w:i w:val="1"/>
          <w:iCs w:val="1"/>
          <w:rtl w:val="0"/>
        </w:rPr>
        <w:t xml:space="preserve">parecer</w:t>
      </w:r>
      <w:r w:rsidDel="00000000" w:rsidR="00000000" w:rsidRPr="00000000">
        <w:rPr>
          <w:rtl w:val="0"/>
        </w:rPr>
        <w:t xml:space="preserve">  más productivos.</w:t>
      </w:r>
    </w:p>
    <w:p w:rsidR="00000000" w:rsidDel="00000000" w:rsidP="00000000" w:rsidRDefault="00000000" w:rsidRPr="00000000" w14:paraId="00000020">
      <w:pPr>
        <w:numPr>
          <w:ilvl w:val="0"/>
          <w:numId w:val="5"/>
        </w:numPr>
        <w:ind w:left="720" w:hanging="360"/>
        <w:rPr>
          <w:u w:val="none"/>
        </w:rPr>
      </w:pPr>
      <w:r w:rsidDel="00000000" w:rsidR="00000000" w:rsidRPr="00000000">
        <w:rPr>
          <w:b w:val="1"/>
          <w:bCs w:val="1"/>
          <w:rtl w:val="0"/>
        </w:rPr>
        <w:t xml:space="preserve">Cultura como Activo:</w:t>
      </w:r>
      <w:r w:rsidDel="00000000" w:rsidR="00000000" w:rsidRPr="00000000">
        <w:rPr>
          <w:rtl w:val="0"/>
        </w:rPr>
        <w:t xml:space="preserve">  Las organizaciones deben usar la IA no solo para automatizar tareas, sino para reforzar valores, mejorar la comunicación y fomentar la conexión humana.</w:t>
      </w:r>
    </w:p>
    <w:p w:rsidR="00000000" w:rsidDel="00000000" w:rsidP="00000000" w:rsidRDefault="00000000" w:rsidRPr="00000000" w14:paraId="00000021">
      <w:pPr>
        <w:pStyle w:val="Heading4"/>
        <w:rPr/>
      </w:pPr>
      <w:bookmarkStart w:colFirst="0" w:colLast="0" w:name="_j67g0aj9o6mc" w:id="11"/>
      <w:bookmarkEnd w:id="11"/>
      <w:r w:rsidDel="00000000" w:rsidR="00000000" w:rsidRPr="00000000">
        <w:rPr>
          <w:rtl w:val="0"/>
        </w:rPr>
        <w:t xml:space="preserve">4. La Ventaja de la Orquestación</w:t>
      </w:r>
    </w:p>
    <w:p w:rsidR="00000000" w:rsidDel="00000000" w:rsidP="00000000" w:rsidRDefault="00000000" w:rsidRPr="00000000" w14:paraId="00000022">
      <w:pPr>
        <w:rPr/>
      </w:pPr>
      <w:r w:rsidDel="00000000" w:rsidR="00000000" w:rsidRPr="00000000">
        <w:rPr>
          <w:rtl w:val="0"/>
        </w:rPr>
        <w:t xml:space="preserve">La orquestación se define como la capacidad de dirigir fluidamente personas, habilidades, datos y tecnología hacia resultados críticos.| Acción de Orquestación | Descripción y Propósito || ------ | ------ || </w:t>
      </w:r>
      <w:r w:rsidDel="00000000" w:rsidR="00000000" w:rsidRPr="00000000">
        <w:rPr>
          <w:b w:val="1"/>
          <w:bCs w:val="1"/>
          <w:rtl w:val="0"/>
        </w:rPr>
        <w:t xml:space="preserve">Identificar Capacidad</w:t>
      </w:r>
      <w:r w:rsidDel="00000000" w:rsidR="00000000" w:rsidRPr="00000000">
        <w:rPr>
          <w:rtl w:val="0"/>
        </w:rPr>
        <w:t xml:space="preserve"> | Ir más allá de "contratar" o "desarrollar". Incluye el uso de IA (Bot) y la combinación Humano-IA (Blend). || </w:t>
      </w:r>
      <w:r w:rsidDel="00000000" w:rsidR="00000000" w:rsidRPr="00000000">
        <w:rPr>
          <w:b w:val="1"/>
          <w:bCs w:val="1"/>
          <w:rtl w:val="0"/>
        </w:rPr>
        <w:t xml:space="preserve">Decisión en el Punto de Necesidad</w:t>
      </w:r>
      <w:r w:rsidDel="00000000" w:rsidR="00000000" w:rsidRPr="00000000">
        <w:rPr>
          <w:rtl w:val="0"/>
        </w:rPr>
        <w:t xml:space="preserve"> | Empoderar a los trabajadores en todos los niveles para redistribuir el trabajo basándose en datos en tiempo real. || </w:t>
      </w:r>
      <w:r w:rsidDel="00000000" w:rsidR="00000000" w:rsidRPr="00000000">
        <w:rPr>
          <w:b w:val="1"/>
          <w:bCs w:val="1"/>
          <w:rtl w:val="0"/>
        </w:rPr>
        <w:t xml:space="preserve">Modularidad "Plug-and-Play"</w:t>
      </w:r>
      <w:r w:rsidDel="00000000" w:rsidR="00000000" w:rsidRPr="00000000">
        <w:rPr>
          <w:rtl w:val="0"/>
        </w:rPr>
        <w:t xml:space="preserve"> | Crear estructuras que permitan integrar capacidades externas e internas sin fricción de silos. || </w:t>
      </w:r>
      <w:r w:rsidDel="00000000" w:rsidR="00000000" w:rsidRPr="00000000">
        <w:rPr>
          <w:b w:val="1"/>
          <w:bCs w:val="1"/>
          <w:rtl w:val="0"/>
        </w:rPr>
        <w:t xml:space="preserve">Uso de Gemelos Digitales</w:t>
      </w:r>
      <w:r w:rsidDel="00000000" w:rsidR="00000000" w:rsidRPr="00000000">
        <w:rPr>
          <w:rtl w:val="0"/>
        </w:rPr>
        <w:t xml:space="preserve"> | Simular escenarios de fuerza laboral para predecir necesidades de talento antes de que ocurran. |</w:t>
      </w:r>
    </w:p>
    <w:p w:rsidR="00000000" w:rsidDel="00000000" w:rsidP="00000000" w:rsidRDefault="00000000" w:rsidRPr="00000000" w14:paraId="00000023">
      <w:pPr>
        <w:pStyle w:val="Heading4"/>
        <w:rPr/>
      </w:pPr>
      <w:bookmarkStart w:colFirst="0" w:colLast="0" w:name="_zdrkigwo2hi1" w:id="12"/>
      <w:bookmarkEnd w:id="12"/>
      <w:r w:rsidDel="00000000" w:rsidR="00000000" w:rsidRPr="00000000">
        <w:rPr>
          <w:rtl w:val="0"/>
        </w:rPr>
        <w:t xml:space="preserve">5. El Futuro de las Funciones Organizacionales</w:t>
      </w:r>
    </w:p>
    <w:p w:rsidR="00000000" w:rsidDel="00000000" w:rsidP="00000000" w:rsidRDefault="00000000" w:rsidRPr="00000000" w14:paraId="00000024">
      <w:pPr>
        <w:rPr/>
      </w:pPr>
      <w:r w:rsidDel="00000000" w:rsidR="00000000" w:rsidRPr="00000000">
        <w:rPr>
          <w:rtl w:val="0"/>
        </w:rPr>
        <w:t xml:space="preserve">El informe cuestiona si los pilares tradicionales (RR.HH., TI, Finanzas, Legal) han sobrevivido a su utilidad original de eficiencia y especialización.</w:t>
      </w:r>
    </w:p>
    <w:p w:rsidR="00000000" w:rsidDel="00000000" w:rsidP="00000000" w:rsidRDefault="00000000" w:rsidRPr="00000000" w14:paraId="00000025">
      <w:pPr>
        <w:numPr>
          <w:ilvl w:val="0"/>
          <w:numId w:val="1"/>
        </w:numPr>
        <w:ind w:left="720" w:hanging="360"/>
        <w:rPr>
          <w:u w:val="none"/>
        </w:rPr>
      </w:pPr>
      <w:r w:rsidDel="00000000" w:rsidR="00000000" w:rsidRPr="00000000">
        <w:rPr>
          <w:b w:val="1"/>
          <w:bCs w:val="1"/>
          <w:rtl w:val="0"/>
        </w:rPr>
        <w:t xml:space="preserve">Necesidad de Reinvención:</w:t>
      </w:r>
      <w:r w:rsidDel="00000000" w:rsidR="00000000" w:rsidRPr="00000000">
        <w:rPr>
          <w:rtl w:val="0"/>
        </w:rPr>
        <w:t xml:space="preserve">  El 66% de los líderes del C-suite considera extremadamente importante ir más allá de los límites funcionales tradicionales.</w:t>
      </w:r>
    </w:p>
    <w:p w:rsidR="00000000" w:rsidDel="00000000" w:rsidP="00000000" w:rsidRDefault="00000000" w:rsidRPr="00000000" w14:paraId="00000026">
      <w:pPr>
        <w:numPr>
          <w:ilvl w:val="0"/>
          <w:numId w:val="1"/>
        </w:numPr>
        <w:ind w:left="720" w:hanging="360"/>
        <w:rPr>
          <w:u w:val="none"/>
        </w:rPr>
      </w:pPr>
      <w:r w:rsidDel="00000000" w:rsidR="00000000" w:rsidRPr="00000000">
        <w:rPr>
          <w:b w:val="1"/>
          <w:bCs w:val="1"/>
          <w:rtl w:val="0"/>
        </w:rPr>
        <w:t xml:space="preserve">Colaboración Interdisciplinaria:</w:t>
      </w:r>
      <w:r w:rsidDel="00000000" w:rsidR="00000000" w:rsidRPr="00000000">
        <w:rPr>
          <w:rtl w:val="0"/>
        </w:rPr>
        <w:t xml:space="preserve">  Los desafíos modernos (IA, sostenibilidad, transformación) requieren que las funciones trabajen juntas, no por separado.</w:t>
      </w:r>
    </w:p>
    <w:p w:rsidR="00000000" w:rsidDel="00000000" w:rsidP="00000000" w:rsidRDefault="00000000" w:rsidRPr="00000000" w14:paraId="00000027">
      <w:pPr>
        <w:numPr>
          <w:ilvl w:val="0"/>
          <w:numId w:val="1"/>
        </w:numPr>
        <w:ind w:left="720" w:hanging="360"/>
        <w:rPr>
          <w:u w:val="none"/>
        </w:rPr>
      </w:pPr>
      <w:r w:rsidDel="00000000" w:rsidR="00000000" w:rsidRPr="00000000">
        <w:rPr>
          <w:b w:val="1"/>
          <w:bCs w:val="1"/>
          <w:rtl w:val="0"/>
        </w:rPr>
        <w:t xml:space="preserve">Deconstrucción:</w:t>
      </w:r>
      <w:r w:rsidDel="00000000" w:rsidR="00000000" w:rsidRPr="00000000">
        <w:rPr>
          <w:rtl w:val="0"/>
        </w:rPr>
        <w:t xml:space="preserve">  Las organizaciones exitosas deconstruirán las funciones corporativas para reensamblarlas en torno a resultados de negocio y humanos.</w:t>
      </w:r>
    </w:p>
    <w:p w:rsidR="00000000" w:rsidDel="00000000" w:rsidP="00000000" w:rsidRDefault="00000000" w:rsidRPr="00000000" w14:paraId="00000028">
      <w:pPr>
        <w:pStyle w:val="Heading4"/>
        <w:rPr/>
      </w:pPr>
      <w:bookmarkStart w:colFirst="0" w:colLast="0" w:name="_qzz40ra67ob" w:id="13"/>
      <w:bookmarkEnd w:id="13"/>
      <w:r w:rsidDel="00000000" w:rsidR="00000000" w:rsidRPr="00000000">
        <w:rPr>
          <w:rtl w:val="0"/>
        </w:rPr>
        <w:t xml:space="preserve">Conclusión: El Salto con Ventaja Humana</w:t>
      </w:r>
    </w:p>
    <w:p w:rsidR="00000000" w:rsidDel="00000000" w:rsidP="00000000" w:rsidRDefault="00000000" w:rsidRPr="00000000" w14:paraId="00000029">
      <w:pPr>
        <w:rPr/>
      </w:pPr>
      <w:r w:rsidDel="00000000" w:rsidR="00000000" w:rsidRPr="00000000">
        <w:rPr>
          <w:rtl w:val="0"/>
        </w:rPr>
        <w:t xml:space="preserve">La reinvención ya no es un evento episódico, sino la línea base. Las organizaciones que prosperen serán aquellas que traten la discontinuidad tecnológica como un impulso y no como una crisis. Fortalecer el "borde humano" —la capacidad de aprender, adaptarse y reinventarse en tiempo real— es el único camino para navegar una curva de crecimiento que no dejará de comprimirse. Aquellos que realicen elecciones audaces e intencionales para potenciar a su gente establecerán el nuevo estándar de éxito en un mundo impulsado por la IA.</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