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
        <w:jc w:val="left"/>
      </w:pPr>
      <w:r>
        <w:drawing>
          <wp:inline xmlns:a="http://schemas.openxmlformats.org/drawingml/2006/main" xmlns:pic="http://schemas.openxmlformats.org/drawingml/2006/picture">
            <wp:extent cx="2468880" cy="391308"/>
            <wp:docPr id="1" name="Picture 1" title="NeuroTrader" descr="NeuroTrader logo"/>
            <wp:cNvGraphicFramePr>
              <a:graphicFrameLocks noChangeAspect="1"/>
            </wp:cNvGraphicFramePr>
            <a:graphic>
              <a:graphicData uri="http://schemas.openxmlformats.org/drawingml/2006/picture">
                <pic:pic>
                  <pic:nvPicPr>
                    <pic:cNvPr id="0" name="neurotrader-logo-web.png"/>
                    <pic:cNvPicPr/>
                  </pic:nvPicPr>
                  <pic:blipFill>
                    <a:blip r:embed="rId15"/>
                    <a:stretch>
                      <a:fillRect/>
                    </a:stretch>
                  </pic:blipFill>
                  <pic:spPr>
                    <a:xfrm>
                      <a:off x="0" y="0"/>
                      <a:ext cx="2468880" cy="391308"/>
                    </a:xfrm>
                    <a:prstGeom prst="rect"/>
                  </pic:spPr>
                </pic:pic>
              </a:graphicData>
            </a:graphic>
          </wp:inline>
        </w:drawing>
      </w:r>
    </w:p>
    <w:p>
      <w:pPr>
        <w:pStyle w:val="Title"/>
        <w:keepNext/>
      </w:pPr>
      <w:r>
        <w:t>NeuroTrader App Review Response</w:t>
      </w:r>
    </w:p>
    <w:p>
      <w:pPr>
        <w:spacing w:after="240"/>
      </w:pPr>
      <w:r>
        <w:rPr>
          <w:rFonts w:ascii="Aptos" w:hAnsi="Aptos"/>
          <w:color w:val="667085"/>
          <w:sz w:val="24"/>
        </w:rPr>
        <w:t>Response to the six information requests from Apple App Review</w:t>
      </w:r>
    </w:p>
    <w:tbl>
      <w:tblPr>
        <w:tblStyle w:val="TableGrid"/>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376"/>
        <w:gridCol w:w="7560"/>
      </w:tblGrid>
      <w:tr>
        <w:trPr>
          <w:cantSplit/>
          <w:tblHeader w:val="true"/>
        </w:trPr>
        <w:tc>
          <w:tcPr>
            <w:tcW w:type="dxa" w:w="2376"/>
            <w:vAlign w:val="center"/>
            <w:tcMar>
              <w:top w:w="110" w:type="dxa"/>
              <w:start w:w="130" w:type="dxa"/>
              <w:bottom w:w="110" w:type="dxa"/>
              <w:end w:w="130" w:type="dxa"/>
            </w:tcMar>
            <w:shd w:fill="17324D"/>
          </w:tcPr>
          <w:p>
            <w:r>
              <w:rPr>
                <w:rFonts w:ascii="Arial" w:hAnsi="Arial"/>
                <w:b/>
                <w:color w:val="0B172A"/>
                <w:sz w:val="18"/>
              </w:rPr>
              <w:t>Submission field</w:t>
            </w:r>
          </w:p>
        </w:tc>
        <w:tc>
          <w:tcPr>
            <w:tcW w:type="dxa" w:w="7560"/>
            <w:vAlign w:val="center"/>
            <w:tcMar>
              <w:top w:w="110" w:type="dxa"/>
              <w:start w:w="130" w:type="dxa"/>
              <w:bottom w:w="110" w:type="dxa"/>
              <w:end w:w="130" w:type="dxa"/>
            </w:tcMar>
            <w:shd w:fill="17324D"/>
          </w:tcPr>
          <w:p>
            <w:r>
              <w:rPr>
                <w:rFonts w:ascii="Arial" w:hAnsi="Arial"/>
                <w:b/>
                <w:color w:val="0B172A"/>
                <w:sz w:val="18"/>
              </w:rPr>
              <w:t>Information</w:t>
            </w:r>
          </w:p>
        </w:tc>
      </w:tr>
      <w:tr>
        <w:trPr>
          <w:cantSplit/>
        </w:trPr>
        <w:tc>
          <w:tcPr>
            <w:tcW w:type="dxa" w:w="2376"/>
            <w:vAlign w:val="center"/>
            <w:tcMar>
              <w:top w:w="110" w:type="dxa"/>
              <w:start w:w="130" w:type="dxa"/>
              <w:bottom w:w="110" w:type="dxa"/>
              <w:end w:w="130" w:type="dxa"/>
            </w:tcMar>
          </w:tcPr>
          <w:p>
            <w:r>
              <w:rPr>
                <w:rFonts w:ascii="Arial" w:hAnsi="Arial"/>
                <w:color w:val="0B172A"/>
                <w:sz w:val="18"/>
              </w:rPr>
              <w:t>From</w:t>
            </w:r>
          </w:p>
        </w:tc>
        <w:tc>
          <w:tcPr>
            <w:tcW w:type="dxa" w:w="7560"/>
            <w:vAlign w:val="center"/>
            <w:tcMar>
              <w:top w:w="110" w:type="dxa"/>
              <w:start w:w="130" w:type="dxa"/>
              <w:bottom w:w="110" w:type="dxa"/>
              <w:end w:w="130" w:type="dxa"/>
            </w:tcMar>
          </w:tcPr>
          <w:p>
            <w:r>
              <w:rPr>
                <w:rFonts w:ascii="Arial" w:hAnsi="Arial"/>
                <w:color w:val="0B172A"/>
                <w:sz w:val="18"/>
              </w:rPr>
              <w:t>SG PAX CORP.</w:t>
            </w:r>
          </w:p>
        </w:tc>
      </w:tr>
      <w:tr>
        <w:trPr>
          <w:cantSplit/>
        </w:trPr>
        <w:tc>
          <w:tcPr>
            <w:tcW w:type="dxa" w:w="2376"/>
            <w:vAlign w:val="center"/>
            <w:tcMar>
              <w:top w:w="110" w:type="dxa"/>
              <w:start w:w="130" w:type="dxa"/>
              <w:bottom w:w="110" w:type="dxa"/>
              <w:end w:w="130" w:type="dxa"/>
            </w:tcMar>
            <w:shd w:fill="F5F7F9"/>
          </w:tcPr>
          <w:p>
            <w:r>
              <w:rPr>
                <w:rFonts w:ascii="Arial" w:hAnsi="Arial"/>
                <w:color w:val="0B172A"/>
                <w:sz w:val="18"/>
              </w:rPr>
              <w:t>Product</w:t>
            </w:r>
          </w:p>
        </w:tc>
        <w:tc>
          <w:tcPr>
            <w:tcW w:type="dxa" w:w="7560"/>
            <w:vAlign w:val="center"/>
            <w:tcMar>
              <w:top w:w="110" w:type="dxa"/>
              <w:start w:w="130" w:type="dxa"/>
              <w:bottom w:w="110" w:type="dxa"/>
              <w:end w:w="130" w:type="dxa"/>
            </w:tcMar>
            <w:shd w:fill="F5F7F9"/>
          </w:tcPr>
          <w:p>
            <w:r>
              <w:rPr>
                <w:rFonts w:ascii="Arial" w:hAnsi="Arial"/>
                <w:color w:val="0B172A"/>
                <w:sz w:val="18"/>
              </w:rPr>
              <w:t>NeuroTrader</w:t>
            </w:r>
          </w:p>
        </w:tc>
      </w:tr>
      <w:tr>
        <w:trPr>
          <w:cantSplit/>
        </w:trPr>
        <w:tc>
          <w:tcPr>
            <w:tcW w:type="dxa" w:w="2376"/>
            <w:vAlign w:val="center"/>
            <w:tcMar>
              <w:top w:w="110" w:type="dxa"/>
              <w:start w:w="130" w:type="dxa"/>
              <w:bottom w:w="110" w:type="dxa"/>
              <w:end w:w="130" w:type="dxa"/>
            </w:tcMar>
          </w:tcPr>
          <w:p>
            <w:r>
              <w:rPr>
                <w:rFonts w:ascii="Arial" w:hAnsi="Arial"/>
                <w:color w:val="0B172A"/>
                <w:sz w:val="18"/>
              </w:rPr>
              <w:t>To</w:t>
            </w:r>
          </w:p>
        </w:tc>
        <w:tc>
          <w:tcPr>
            <w:tcW w:type="dxa" w:w="7560"/>
            <w:vAlign w:val="center"/>
            <w:tcMar>
              <w:top w:w="110" w:type="dxa"/>
              <w:start w:w="130" w:type="dxa"/>
              <w:bottom w:w="110" w:type="dxa"/>
              <w:end w:w="130" w:type="dxa"/>
            </w:tcMar>
          </w:tcPr>
          <w:p>
            <w:r>
              <w:rPr>
                <w:rFonts w:ascii="Arial" w:hAnsi="Arial"/>
                <w:color w:val="0B172A"/>
                <w:sz w:val="18"/>
              </w:rPr>
              <w:t>Apple App Review</w:t>
            </w:r>
          </w:p>
        </w:tc>
      </w:tr>
      <w:tr>
        <w:trPr>
          <w:cantSplit/>
        </w:trPr>
        <w:tc>
          <w:tcPr>
            <w:tcW w:type="dxa" w:w="2376"/>
            <w:vAlign w:val="center"/>
            <w:tcMar>
              <w:top w:w="110" w:type="dxa"/>
              <w:start w:w="130" w:type="dxa"/>
              <w:bottom w:w="110" w:type="dxa"/>
              <w:end w:w="130" w:type="dxa"/>
            </w:tcMar>
            <w:shd w:fill="F5F7F9"/>
          </w:tcPr>
          <w:p>
            <w:r>
              <w:rPr>
                <w:rFonts w:ascii="Arial" w:hAnsi="Arial"/>
                <w:color w:val="0B172A"/>
                <w:sz w:val="18"/>
              </w:rPr>
              <w:t>Response date</w:t>
            </w:r>
          </w:p>
        </w:tc>
        <w:tc>
          <w:tcPr>
            <w:tcW w:type="dxa" w:w="7560"/>
            <w:vAlign w:val="center"/>
            <w:tcMar>
              <w:top w:w="110" w:type="dxa"/>
              <w:start w:w="130" w:type="dxa"/>
              <w:bottom w:w="110" w:type="dxa"/>
              <w:end w:w="130" w:type="dxa"/>
            </w:tcMar>
            <w:shd w:fill="F5F7F9"/>
          </w:tcPr>
          <w:p>
            <w:r>
              <w:rPr>
                <w:rFonts w:ascii="Arial" w:hAnsi="Arial"/>
                <w:color w:val="0B172A"/>
                <w:sz w:val="18"/>
              </w:rPr>
              <w:t>September 10, 2026</w:t>
            </w:r>
          </w:p>
        </w:tc>
      </w:tr>
    </w:tbl>
    <w:p>
      <w:pPr>
        <w:spacing w:after="200" w:before="40"/>
        <w:jc w:val="left"/>
      </w:pPr>
      <w:r>
        <w:rPr>
          <w:rFonts w:ascii="Arial" w:hAnsi="Arial"/>
          <w:b/>
          <w:color w:val="00A98F"/>
          <w:sz w:val="18"/>
        </w:rPr>
        <w:t>SUBMITTED BY SG PAX CORP.</w:t>
      </w:r>
    </w:p>
    <w:p>
      <w:pPr>
        <w:spacing w:after="160" w:line="269" w:lineRule="auto"/>
      </w:pPr>
      <w:r>
        <w:t>This document provides the requested information for review of the NeuroTrader iOS app. A physical-device screen recording is attached separately in the Resolution Center. The submitted iOS app is a companion to an existing web service and does not provide account registration, pricing, checkout, subscription purchases, upgrades, or external purchase links.</w:t>
      </w:r>
    </w:p>
    <w:p>
      <w:pPr>
        <w:spacing w:after="200" w:line="269" w:lineRule="auto"/>
      </w:pPr>
      <w:r>
        <w:rPr>
          <w:b/>
        </w:rPr>
        <w:t>Reviewer action requested:</w:t>
      </w:r>
      <w:r>
        <w:t xml:space="preserve"> Please use the credentials in Section 3 to access the preloaded demonstration workspace. All balances, trades, journals, analytics, and results in the review accounts are simulated solely for App Review.</w:t>
      </w:r>
    </w:p>
    <w:tbl>
      <w:tblPr>
        <w:tblStyle w:val="TableGrid"/>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792"/>
        <w:gridCol w:w="6120"/>
        <w:gridCol w:w="3024"/>
      </w:tblGrid>
      <w:tr>
        <w:trPr>
          <w:cantSplit/>
          <w:tblHeader w:val="true"/>
        </w:trPr>
        <w:tc>
          <w:tcPr>
            <w:tcW w:type="dxa" w:w="792"/>
            <w:vAlign w:val="center"/>
            <w:tcMar>
              <w:top w:w="110" w:type="dxa"/>
              <w:start w:w="130" w:type="dxa"/>
              <w:bottom w:w="110" w:type="dxa"/>
              <w:end w:w="130" w:type="dxa"/>
            </w:tcMar>
            <w:shd w:fill="17324D"/>
          </w:tcPr>
          <w:p>
            <w:pPr>
              <w:spacing w:after="0" w:line="252" w:lineRule="auto"/>
            </w:pPr>
            <w:r>
              <w:rPr>
                <w:rFonts w:ascii="Aptos" w:hAnsi="Aptos"/>
                <w:b/>
                <w:color w:val="FFFFFF"/>
                <w:sz w:val="18"/>
              </w:rPr>
              <w:t>Item</w:t>
            </w:r>
          </w:p>
        </w:tc>
        <w:tc>
          <w:tcPr>
            <w:tcW w:type="dxa" w:w="6120"/>
            <w:vAlign w:val="center"/>
            <w:tcMar>
              <w:top w:w="110" w:type="dxa"/>
              <w:start w:w="130" w:type="dxa"/>
              <w:bottom w:w="110" w:type="dxa"/>
              <w:end w:w="130" w:type="dxa"/>
            </w:tcMar>
            <w:shd w:fill="17324D"/>
          </w:tcPr>
          <w:p>
            <w:pPr>
              <w:spacing w:after="0" w:line="252" w:lineRule="auto"/>
            </w:pPr>
            <w:r>
              <w:rPr>
                <w:rFonts w:ascii="Aptos" w:hAnsi="Aptos"/>
                <w:b/>
                <w:color w:val="FFFFFF"/>
                <w:sz w:val="18"/>
              </w:rPr>
              <w:t>Requested information</w:t>
            </w:r>
          </w:p>
        </w:tc>
        <w:tc>
          <w:tcPr>
            <w:tcW w:type="dxa" w:w="3024"/>
            <w:vAlign w:val="center"/>
            <w:tcMar>
              <w:top w:w="110" w:type="dxa"/>
              <w:start w:w="130" w:type="dxa"/>
              <w:bottom w:w="110" w:type="dxa"/>
              <w:end w:w="130" w:type="dxa"/>
            </w:tcMar>
            <w:shd w:fill="17324D"/>
          </w:tcPr>
          <w:p>
            <w:pPr>
              <w:spacing w:after="0" w:line="252" w:lineRule="auto"/>
            </w:pPr>
            <w:r>
              <w:rPr>
                <w:rFonts w:ascii="Aptos" w:hAnsi="Aptos"/>
                <w:b/>
                <w:color w:val="FFFFFF"/>
                <w:sz w:val="18"/>
              </w:rPr>
              <w:t>Provided</w:t>
            </w:r>
          </w:p>
        </w:tc>
      </w:tr>
      <w:tr>
        <w:trPr>
          <w:cantSplit/>
        </w:trPr>
        <w:tc>
          <w:tcPr>
            <w:tcW w:type="dxa" w:w="792"/>
            <w:vAlign w:val="center"/>
            <w:tcMar>
              <w:top w:w="110" w:type="dxa"/>
              <w:start w:w="130" w:type="dxa"/>
              <w:bottom w:w="110" w:type="dxa"/>
              <w:end w:w="130" w:type="dxa"/>
            </w:tcMar>
          </w:tcPr>
          <w:p>
            <w:pPr>
              <w:spacing w:after="0" w:line="252" w:lineRule="auto"/>
              <w:jc w:val="center"/>
            </w:pPr>
            <w:r>
              <w:rPr>
                <w:rFonts w:ascii="Aptos" w:hAnsi="Aptos"/>
                <w:sz w:val="18"/>
              </w:rPr>
              <w:t>1</w:t>
            </w:r>
          </w:p>
        </w:tc>
        <w:tc>
          <w:tcPr>
            <w:tcW w:type="dxa" w:w="6120"/>
            <w:vAlign w:val="center"/>
            <w:tcMar>
              <w:top w:w="110" w:type="dxa"/>
              <w:start w:w="130" w:type="dxa"/>
              <w:bottom w:w="110" w:type="dxa"/>
              <w:end w:w="130" w:type="dxa"/>
            </w:tcMar>
          </w:tcPr>
          <w:p>
            <w:pPr>
              <w:spacing w:after="0" w:line="252" w:lineRule="auto"/>
            </w:pPr>
            <w:r>
              <w:rPr>
                <w:rFonts w:ascii="Aptos" w:hAnsi="Aptos"/>
                <w:sz w:val="18"/>
              </w:rPr>
              <w:t>Physical-device recording and relevant flows</w:t>
            </w:r>
          </w:p>
        </w:tc>
        <w:tc>
          <w:tcPr>
            <w:tcW w:type="dxa" w:w="3024"/>
            <w:vAlign w:val="center"/>
            <w:tcMar>
              <w:top w:w="110" w:type="dxa"/>
              <w:start w:w="130" w:type="dxa"/>
              <w:bottom w:w="110" w:type="dxa"/>
              <w:end w:w="130" w:type="dxa"/>
            </w:tcMar>
          </w:tcPr>
          <w:p>
            <w:pPr>
              <w:spacing w:after="0" w:line="252" w:lineRule="auto"/>
            </w:pPr>
            <w:r>
              <w:rPr>
                <w:rFonts w:ascii="Aptos" w:hAnsi="Aptos"/>
                <w:sz w:val="18"/>
              </w:rPr>
              <w:t>Recording attached separately</w:t>
            </w:r>
          </w:p>
        </w:tc>
      </w:tr>
      <w:tr>
        <w:trPr>
          <w:cantSplit/>
        </w:trPr>
        <w:tc>
          <w:tcPr>
            <w:tcW w:type="dxa" w:w="792"/>
            <w:vAlign w:val="center"/>
            <w:tcMar>
              <w:top w:w="110" w:type="dxa"/>
              <w:start w:w="130" w:type="dxa"/>
              <w:bottom w:w="110" w:type="dxa"/>
              <w:end w:w="130" w:type="dxa"/>
            </w:tcMar>
            <w:shd w:fill="F5F7F9"/>
          </w:tcPr>
          <w:p>
            <w:pPr>
              <w:spacing w:after="0" w:line="252" w:lineRule="auto"/>
              <w:jc w:val="center"/>
            </w:pPr>
            <w:r>
              <w:rPr>
                <w:rFonts w:ascii="Aptos" w:hAnsi="Aptos"/>
                <w:sz w:val="18"/>
              </w:rPr>
              <w:t>2</w:t>
            </w:r>
          </w:p>
        </w:tc>
        <w:tc>
          <w:tcPr>
            <w:tcW w:type="dxa" w:w="6120"/>
            <w:vAlign w:val="center"/>
            <w:tcMar>
              <w:top w:w="110" w:type="dxa"/>
              <w:start w:w="130" w:type="dxa"/>
              <w:bottom w:w="110" w:type="dxa"/>
              <w:end w:w="130" w:type="dxa"/>
            </w:tcMar>
            <w:shd w:fill="F5F7F9"/>
          </w:tcPr>
          <w:p>
            <w:pPr>
              <w:spacing w:after="0" w:line="252" w:lineRule="auto"/>
            </w:pPr>
            <w:r>
              <w:rPr>
                <w:rFonts w:ascii="Aptos" w:hAnsi="Aptos"/>
                <w:sz w:val="18"/>
              </w:rPr>
              <w:t>Purpose, audience, problem, and value</w:t>
            </w:r>
          </w:p>
        </w:tc>
        <w:tc>
          <w:tcPr>
            <w:tcW w:type="dxa" w:w="3024"/>
            <w:vAlign w:val="center"/>
            <w:tcMar>
              <w:top w:w="110" w:type="dxa"/>
              <w:start w:w="130" w:type="dxa"/>
              <w:bottom w:w="110" w:type="dxa"/>
              <w:end w:w="130" w:type="dxa"/>
            </w:tcMar>
            <w:shd w:fill="F5F7F9"/>
          </w:tcPr>
          <w:p>
            <w:pPr>
              <w:spacing w:after="0" w:line="252" w:lineRule="auto"/>
            </w:pPr>
            <w:r>
              <w:rPr>
                <w:rFonts w:ascii="Aptos" w:hAnsi="Aptos"/>
                <w:sz w:val="18"/>
              </w:rPr>
              <w:t>Section 2</w:t>
            </w:r>
          </w:p>
        </w:tc>
      </w:tr>
      <w:tr>
        <w:trPr>
          <w:cantSplit/>
        </w:trPr>
        <w:tc>
          <w:tcPr>
            <w:tcW w:type="dxa" w:w="792"/>
            <w:vAlign w:val="center"/>
            <w:tcMar>
              <w:top w:w="110" w:type="dxa"/>
              <w:start w:w="130" w:type="dxa"/>
              <w:bottom w:w="110" w:type="dxa"/>
              <w:end w:w="130" w:type="dxa"/>
            </w:tcMar>
          </w:tcPr>
          <w:p>
            <w:pPr>
              <w:spacing w:after="0" w:line="252" w:lineRule="auto"/>
              <w:jc w:val="center"/>
            </w:pPr>
            <w:r>
              <w:rPr>
                <w:rFonts w:ascii="Aptos" w:hAnsi="Aptos"/>
                <w:sz w:val="18"/>
              </w:rPr>
              <w:t>3</w:t>
            </w:r>
          </w:p>
        </w:tc>
        <w:tc>
          <w:tcPr>
            <w:tcW w:type="dxa" w:w="6120"/>
            <w:vAlign w:val="center"/>
            <w:tcMar>
              <w:top w:w="110" w:type="dxa"/>
              <w:start w:w="130" w:type="dxa"/>
              <w:bottom w:w="110" w:type="dxa"/>
              <w:end w:w="130" w:type="dxa"/>
            </w:tcMar>
          </w:tcPr>
          <w:p>
            <w:pPr>
              <w:spacing w:after="0" w:line="252" w:lineRule="auto"/>
            </w:pPr>
            <w:r>
              <w:rPr>
                <w:rFonts w:ascii="Aptos" w:hAnsi="Aptos"/>
                <w:sz w:val="18"/>
              </w:rPr>
              <w:t>Setup, credentials, and feature access</w:t>
            </w:r>
          </w:p>
        </w:tc>
        <w:tc>
          <w:tcPr>
            <w:tcW w:type="dxa" w:w="3024"/>
            <w:vAlign w:val="center"/>
            <w:tcMar>
              <w:top w:w="110" w:type="dxa"/>
              <w:start w:w="130" w:type="dxa"/>
              <w:bottom w:w="110" w:type="dxa"/>
              <w:end w:w="130" w:type="dxa"/>
            </w:tcMar>
          </w:tcPr>
          <w:p>
            <w:pPr>
              <w:spacing w:after="0" w:line="252" w:lineRule="auto"/>
            </w:pPr>
            <w:r>
              <w:rPr>
                <w:rFonts w:ascii="Aptos" w:hAnsi="Aptos"/>
                <w:sz w:val="18"/>
              </w:rPr>
              <w:t>Section 3</w:t>
            </w:r>
          </w:p>
        </w:tc>
      </w:tr>
      <w:tr>
        <w:trPr>
          <w:cantSplit/>
        </w:trPr>
        <w:tc>
          <w:tcPr>
            <w:tcW w:type="dxa" w:w="792"/>
            <w:vAlign w:val="center"/>
            <w:tcMar>
              <w:top w:w="110" w:type="dxa"/>
              <w:start w:w="130" w:type="dxa"/>
              <w:bottom w:w="110" w:type="dxa"/>
              <w:end w:w="130" w:type="dxa"/>
            </w:tcMar>
            <w:shd w:fill="F5F7F9"/>
          </w:tcPr>
          <w:p>
            <w:pPr>
              <w:spacing w:after="0" w:line="252" w:lineRule="auto"/>
              <w:jc w:val="center"/>
            </w:pPr>
            <w:r>
              <w:rPr>
                <w:rFonts w:ascii="Aptos" w:hAnsi="Aptos"/>
                <w:sz w:val="18"/>
              </w:rPr>
              <w:t>4</w:t>
            </w:r>
          </w:p>
        </w:tc>
        <w:tc>
          <w:tcPr>
            <w:tcW w:type="dxa" w:w="6120"/>
            <w:vAlign w:val="center"/>
            <w:tcMar>
              <w:top w:w="110" w:type="dxa"/>
              <w:start w:w="130" w:type="dxa"/>
              <w:bottom w:w="110" w:type="dxa"/>
              <w:end w:w="130" w:type="dxa"/>
            </w:tcMar>
            <w:shd w:fill="F5F7F9"/>
          </w:tcPr>
          <w:p>
            <w:pPr>
              <w:spacing w:after="0" w:line="252" w:lineRule="auto"/>
            </w:pPr>
            <w:r>
              <w:rPr>
                <w:rFonts w:ascii="Aptos" w:hAnsi="Aptos"/>
                <w:sz w:val="18"/>
              </w:rPr>
              <w:t>External services and platforms</w:t>
            </w:r>
          </w:p>
        </w:tc>
        <w:tc>
          <w:tcPr>
            <w:tcW w:type="dxa" w:w="3024"/>
            <w:vAlign w:val="center"/>
            <w:tcMar>
              <w:top w:w="110" w:type="dxa"/>
              <w:start w:w="130" w:type="dxa"/>
              <w:bottom w:w="110" w:type="dxa"/>
              <w:end w:w="130" w:type="dxa"/>
            </w:tcMar>
            <w:shd w:fill="F5F7F9"/>
          </w:tcPr>
          <w:p>
            <w:pPr>
              <w:spacing w:after="0" w:line="252" w:lineRule="auto"/>
            </w:pPr>
            <w:r>
              <w:rPr>
                <w:rFonts w:ascii="Aptos" w:hAnsi="Aptos"/>
                <w:sz w:val="18"/>
              </w:rPr>
              <w:t>Section 4</w:t>
            </w:r>
          </w:p>
        </w:tc>
      </w:tr>
      <w:tr>
        <w:trPr>
          <w:cantSplit/>
        </w:trPr>
        <w:tc>
          <w:tcPr>
            <w:tcW w:type="dxa" w:w="792"/>
            <w:vAlign w:val="center"/>
            <w:tcMar>
              <w:top w:w="110" w:type="dxa"/>
              <w:start w:w="130" w:type="dxa"/>
              <w:bottom w:w="110" w:type="dxa"/>
              <w:end w:w="130" w:type="dxa"/>
            </w:tcMar>
          </w:tcPr>
          <w:p>
            <w:pPr>
              <w:spacing w:after="0" w:line="252" w:lineRule="auto"/>
              <w:jc w:val="center"/>
            </w:pPr>
            <w:r>
              <w:rPr>
                <w:rFonts w:ascii="Aptos" w:hAnsi="Aptos"/>
                <w:sz w:val="18"/>
              </w:rPr>
              <w:t>5</w:t>
            </w:r>
          </w:p>
        </w:tc>
        <w:tc>
          <w:tcPr>
            <w:tcW w:type="dxa" w:w="6120"/>
            <w:vAlign w:val="center"/>
            <w:tcMar>
              <w:top w:w="110" w:type="dxa"/>
              <w:start w:w="130" w:type="dxa"/>
              <w:bottom w:w="110" w:type="dxa"/>
              <w:end w:w="130" w:type="dxa"/>
            </w:tcMar>
          </w:tcPr>
          <w:p>
            <w:pPr>
              <w:spacing w:after="0" w:line="252" w:lineRule="auto"/>
            </w:pPr>
            <w:r>
              <w:rPr>
                <w:rFonts w:ascii="Aptos" w:hAnsi="Aptos"/>
                <w:sz w:val="18"/>
              </w:rPr>
              <w:t>Regional differences</w:t>
            </w:r>
          </w:p>
        </w:tc>
        <w:tc>
          <w:tcPr>
            <w:tcW w:type="dxa" w:w="3024"/>
            <w:vAlign w:val="center"/>
            <w:tcMar>
              <w:top w:w="110" w:type="dxa"/>
              <w:start w:w="130" w:type="dxa"/>
              <w:bottom w:w="110" w:type="dxa"/>
              <w:end w:w="130" w:type="dxa"/>
            </w:tcMar>
          </w:tcPr>
          <w:p>
            <w:pPr>
              <w:spacing w:after="0" w:line="252" w:lineRule="auto"/>
            </w:pPr>
            <w:r>
              <w:rPr>
                <w:rFonts w:ascii="Aptos" w:hAnsi="Aptos"/>
                <w:sz w:val="18"/>
              </w:rPr>
              <w:t>Section 5</w:t>
            </w:r>
          </w:p>
        </w:tc>
      </w:tr>
      <w:tr>
        <w:trPr>
          <w:cantSplit/>
        </w:trPr>
        <w:tc>
          <w:tcPr>
            <w:tcW w:type="dxa" w:w="792"/>
            <w:vAlign w:val="center"/>
            <w:tcMar>
              <w:top w:w="110" w:type="dxa"/>
              <w:start w:w="130" w:type="dxa"/>
              <w:bottom w:w="110" w:type="dxa"/>
              <w:end w:w="130" w:type="dxa"/>
            </w:tcMar>
            <w:shd w:fill="F5F7F9"/>
          </w:tcPr>
          <w:p>
            <w:pPr>
              <w:spacing w:after="0" w:line="252" w:lineRule="auto"/>
              <w:jc w:val="center"/>
            </w:pPr>
            <w:r>
              <w:rPr>
                <w:rFonts w:ascii="Aptos" w:hAnsi="Aptos"/>
                <w:sz w:val="18"/>
              </w:rPr>
              <w:t>6</w:t>
            </w:r>
          </w:p>
        </w:tc>
        <w:tc>
          <w:tcPr>
            <w:tcW w:type="dxa" w:w="6120"/>
            <w:vAlign w:val="center"/>
            <w:tcMar>
              <w:top w:w="110" w:type="dxa"/>
              <w:start w:w="130" w:type="dxa"/>
              <w:bottom w:w="110" w:type="dxa"/>
              <w:end w:w="130" w:type="dxa"/>
            </w:tcMar>
            <w:shd w:fill="F5F7F9"/>
          </w:tcPr>
          <w:p>
            <w:pPr>
              <w:spacing w:after="0" w:line="252" w:lineRule="auto"/>
            </w:pPr>
            <w:r>
              <w:rPr>
                <w:rFonts w:ascii="Aptos" w:hAnsi="Aptos"/>
                <w:sz w:val="18"/>
              </w:rPr>
              <w:t>Regulated activity and protected material</w:t>
            </w:r>
          </w:p>
        </w:tc>
        <w:tc>
          <w:tcPr>
            <w:tcW w:type="dxa" w:w="3024"/>
            <w:vAlign w:val="center"/>
            <w:tcMar>
              <w:top w:w="110" w:type="dxa"/>
              <w:start w:w="130" w:type="dxa"/>
              <w:bottom w:w="110" w:type="dxa"/>
              <w:end w:w="130" w:type="dxa"/>
            </w:tcMar>
            <w:shd w:fill="F5F7F9"/>
          </w:tcPr>
          <w:p>
            <w:pPr>
              <w:spacing w:after="0" w:line="252" w:lineRule="auto"/>
            </w:pPr>
            <w:r>
              <w:rPr>
                <w:rFonts w:ascii="Aptos" w:hAnsi="Aptos"/>
                <w:sz w:val="18"/>
              </w:rPr>
              <w:t>Section 6</w:t>
            </w:r>
          </w:p>
        </w:tc>
      </w:tr>
    </w:tbl>
    <w:p>
      <w:pPr>
        <w:pStyle w:val="Heading1"/>
        <w:keepNext/>
      </w:pPr>
      <w:r>
        <w:t>1 Physical Device Recording</w:t>
      </w:r>
    </w:p>
    <w:p>
      <w:pPr>
        <w:spacing w:after="120" w:line="269" w:lineRule="auto"/>
      </w:pPr>
      <w:r>
        <w:t>A separate screen recording captured on a physical iPhone running the latest available operating system is included with the Resolution Center response. The recording begins with a cold launch from the device Home Screen and demonstrates the normal reviewer flow in the latest submitted build.</w:t>
      </w:r>
    </w:p>
    <w:p>
      <w:pPr>
        <w:spacing w:after="120" w:line="269" w:lineRule="auto"/>
      </w:pPr>
      <w:r>
        <w:rPr>
          <w:b/>
        </w:rPr>
        <w:t>The recording demonstrates:</w:t>
      </w:r>
      <w:r/>
    </w:p>
    <w:p>
      <w:pPr>
        <w:pStyle w:val="ListBullet"/>
        <w:spacing w:after="60" w:line="259" w:lineRule="auto"/>
      </w:pPr>
      <w:r>
        <w:t>Launch and sign in with the main App Review account.</w:t>
      </w:r>
    </w:p>
    <w:p>
      <w:pPr>
        <w:pStyle w:val="ListBullet"/>
        <w:spacing w:after="60" w:line="259" w:lineRule="auto"/>
      </w:pPr>
      <w:r>
        <w:t>The preloaded Business Center and the Two-Year Growth Demo workspace.</w:t>
      </w:r>
    </w:p>
    <w:p>
      <w:pPr>
        <w:pStyle w:val="ListBullet"/>
        <w:spacing w:after="60" w:line="259" w:lineRule="auto"/>
      </w:pPr>
      <w:r>
        <w:t>The Trading Business Plan, P&amp;L records, Business KPIs, Business Notebook, Business AI Coach, settings, legal links, and navigation controls.</w:t>
      </w:r>
    </w:p>
    <w:p>
      <w:pPr>
        <w:pStyle w:val="ListBullet"/>
        <w:spacing w:after="60" w:line="259" w:lineRule="auto"/>
      </w:pPr>
      <w:r>
        <w:t>Access to features available to an existing Advanced member. The app contains no account creation, pricing, checkout, subscription purchase, upgrade, or external purchase-link flow.</w:t>
      </w:r>
    </w:p>
    <w:p>
      <w:pPr>
        <w:pStyle w:val="ListBullet"/>
        <w:spacing w:after="60" w:line="259" w:lineRule="auto"/>
      </w:pPr>
      <w:r>
        <w:t>Sign out and permanent account deletion using the separate disposable review account.</w:t>
      </w:r>
    </w:p>
    <w:p>
      <w:pPr>
        <w:spacing w:after="120" w:line="269" w:lineRule="auto"/>
      </w:pPr>
      <w:r>
        <w:rPr>
          <w:b/>
        </w:rPr>
        <w:t>User-generated content:</w:t>
      </w:r>
      <w:r>
        <w:t xml:space="preserve"> The build has no public content or user interaction. All journals, notes, screenshots, and AI conversations are private to the authenticated account; reporting and user-blocking mechanisms are therefore not applicable.</w:t>
      </w:r>
    </w:p>
    <w:p>
      <w:pPr>
        <w:pStyle w:val="Heading1"/>
        <w:keepNext/>
      </w:pPr>
      <w:r>
        <w:t>2 Purpose and Target Audience</w:t>
      </w:r>
    </w:p>
    <w:p>
      <w:pPr>
        <w:pStyle w:val="Heading2"/>
        <w:keepNext/>
      </w:pPr>
      <w:r>
        <w:t>Purpose</w:t>
      </w:r>
    </w:p>
    <w:p>
      <w:pPr>
        <w:spacing w:after="120" w:line="269" w:lineRule="auto"/>
      </w:pPr>
      <w:r>
        <w:t>NeuroTrader is an educational trading-business operations, recordkeeping, simulation, analytics, and accountability tool. It helps self-directed traders organize their activity as a measurable business process. Users can define an operating plan, document executions and decisions, establish personal risk controls, review historical performance, maintain private business notes, and request educational AI-assisted reflection based on their own records.</w:t>
      </w:r>
    </w:p>
    <w:p>
      <w:pPr>
        <w:pStyle w:val="Heading2"/>
        <w:keepNext/>
      </w:pPr>
      <w:r>
        <w:t>Target audience</w:t>
      </w:r>
    </w:p>
    <w:p>
      <w:pPr>
        <w:spacing w:after="120" w:line="269" w:lineRule="auto"/>
      </w:pPr>
      <w:r>
        <w:t>The intended audience is adults who trade independently and want a structured system for planning, documentation, risk discipline, performance review, and continuous improvement. NeuroTrader refers to this user as a Trader Entrepreneur.</w:t>
      </w:r>
    </w:p>
    <w:p>
      <w:pPr>
        <w:pStyle w:val="Heading2"/>
        <w:keepNext/>
      </w:pPr>
      <w:r>
        <w:t>Problem and value</w:t>
      </w:r>
    </w:p>
    <w:p>
      <w:pPr>
        <w:spacing w:after="120" w:line="269" w:lineRule="auto"/>
      </w:pPr>
      <w:r>
        <w:t>Many independent traders manage plans, execution records, risk rules, journals, and performance data across disconnected tools. NeuroTrader brings those records into one private workspace so the user can compare actual behavior with a written operating plan and identify measurable areas for improvement.</w:t>
      </w:r>
    </w:p>
    <w:p>
      <w:pPr>
        <w:spacing w:after="120" w:line="269" w:lineRule="auto"/>
      </w:pPr>
      <w:r>
        <w:t>NeuroTrader does not execute trades, route orders, hold funds or securities, operate a brokerage account, provide individualized financial or investment advice, or guarantee income, profit, capital growth, improved performance, or any projected result. Analytics, simulations, projections, and AI outputs are educational planning information and may differ materially from actual results.</w:t>
      </w:r>
    </w:p>
    <w:p>
      <w:pPr>
        <w:pStyle w:val="Heading1"/>
        <w:keepNext/>
      </w:pPr>
      <w:r>
        <w:t>3 Setup and Access to Main Features</w:t>
      </w:r>
    </w:p>
    <w:p>
      <w:pPr>
        <w:pStyle w:val="Heading2"/>
        <w:keepNext/>
      </w:pPr>
      <w:r>
        <w:t>Review credentials</w:t>
      </w:r>
    </w:p>
    <w:tbl>
      <w:tblPr>
        <w:tblStyle w:val="TableGrid"/>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304"/>
        <w:gridCol w:w="4608"/>
        <w:gridCol w:w="3024"/>
      </w:tblGrid>
      <w:tr>
        <w:trPr>
          <w:cantSplit/>
          <w:tblHeader w:val="true"/>
        </w:trPr>
        <w:tc>
          <w:tcPr>
            <w:tcW w:type="dxa" w:w="2304"/>
            <w:vAlign w:val="center"/>
            <w:tcMar>
              <w:top w:w="110" w:type="dxa"/>
              <w:start w:w="130" w:type="dxa"/>
              <w:bottom w:w="110" w:type="dxa"/>
              <w:end w:w="130" w:type="dxa"/>
            </w:tcMar>
            <w:shd w:fill="17324D"/>
          </w:tcPr>
          <w:p>
            <w:pPr>
              <w:spacing w:after="0" w:line="252" w:lineRule="auto"/>
            </w:pPr>
            <w:r>
              <w:rPr>
                <w:rFonts w:ascii="Aptos" w:hAnsi="Aptos"/>
                <w:b/>
                <w:color w:val="FFFFFF"/>
                <w:sz w:val="17"/>
              </w:rPr>
              <w:t>Purpose</w:t>
            </w:r>
          </w:p>
        </w:tc>
        <w:tc>
          <w:tcPr>
            <w:tcW w:type="dxa" w:w="4608"/>
            <w:vAlign w:val="center"/>
            <w:tcMar>
              <w:top w:w="110" w:type="dxa"/>
              <w:start w:w="130" w:type="dxa"/>
              <w:bottom w:w="110" w:type="dxa"/>
              <w:end w:w="130" w:type="dxa"/>
            </w:tcMar>
            <w:shd w:fill="17324D"/>
          </w:tcPr>
          <w:p>
            <w:pPr>
              <w:spacing w:after="0" w:line="252" w:lineRule="auto"/>
            </w:pPr>
            <w:r>
              <w:rPr>
                <w:rFonts w:ascii="Aptos" w:hAnsi="Aptos"/>
                <w:b/>
                <w:color w:val="FFFFFF"/>
                <w:sz w:val="17"/>
              </w:rPr>
              <w:t>Email</w:t>
            </w:r>
          </w:p>
        </w:tc>
        <w:tc>
          <w:tcPr>
            <w:tcW w:type="dxa" w:w="3024"/>
            <w:vAlign w:val="center"/>
            <w:tcMar>
              <w:top w:w="110" w:type="dxa"/>
              <w:start w:w="130" w:type="dxa"/>
              <w:bottom w:w="110" w:type="dxa"/>
              <w:end w:w="130" w:type="dxa"/>
            </w:tcMar>
            <w:shd w:fill="17324D"/>
          </w:tcPr>
          <w:p>
            <w:pPr>
              <w:spacing w:after="0" w:line="252" w:lineRule="auto"/>
            </w:pPr>
            <w:r>
              <w:rPr>
                <w:rFonts w:ascii="Aptos" w:hAnsi="Aptos"/>
                <w:b/>
                <w:color w:val="FFFFFF"/>
                <w:sz w:val="17"/>
              </w:rPr>
              <w:t>Password</w:t>
            </w:r>
          </w:p>
        </w:tc>
      </w:tr>
      <w:tr>
        <w:trPr>
          <w:cantSplit/>
        </w:trPr>
        <w:tc>
          <w:tcPr>
            <w:tcW w:type="dxa" w:w="2304"/>
            <w:vAlign w:val="center"/>
            <w:tcMar>
              <w:top w:w="110" w:type="dxa"/>
              <w:start w:w="130" w:type="dxa"/>
              <w:bottom w:w="110" w:type="dxa"/>
              <w:end w:w="130" w:type="dxa"/>
            </w:tcMar>
          </w:tcPr>
          <w:p>
            <w:pPr>
              <w:spacing w:after="0" w:line="252" w:lineRule="auto"/>
            </w:pPr>
            <w:r>
              <w:rPr>
                <w:rFonts w:ascii="Aptos" w:hAnsi="Aptos"/>
                <w:sz w:val="17"/>
              </w:rPr>
              <w:t>Main preloaded workspace</w:t>
            </w:r>
          </w:p>
        </w:tc>
        <w:tc>
          <w:tcPr>
            <w:tcW w:type="dxa" w:w="4608"/>
            <w:vAlign w:val="center"/>
            <w:tcMar>
              <w:top w:w="110" w:type="dxa"/>
              <w:start w:w="130" w:type="dxa"/>
              <w:bottom w:w="110" w:type="dxa"/>
              <w:end w:w="130" w:type="dxa"/>
            </w:tcMar>
          </w:tcPr>
          <w:p>
            <w:pPr>
              <w:spacing w:after="0" w:line="252" w:lineRule="auto"/>
            </w:pPr>
            <w:r>
              <w:rPr>
                <w:rFonts w:ascii="Aptos" w:hAnsi="Aptos"/>
                <w:sz w:val="17"/>
              </w:rPr>
              <w:t>appreview@neurotrader-journal.com</w:t>
            </w:r>
          </w:p>
        </w:tc>
        <w:tc>
          <w:tcPr>
            <w:tcW w:type="dxa" w:w="3024"/>
            <w:vAlign w:val="center"/>
            <w:tcMar>
              <w:top w:w="110" w:type="dxa"/>
              <w:start w:w="130" w:type="dxa"/>
              <w:bottom w:w="110" w:type="dxa"/>
              <w:end w:w="130" w:type="dxa"/>
            </w:tcMar>
          </w:tcPr>
          <w:p>
            <w:pPr>
              <w:spacing w:after="0" w:line="252" w:lineRule="auto"/>
            </w:pPr>
            <w:r>
              <w:rPr>
                <w:rFonts w:ascii="Aptos" w:hAnsi="Aptos"/>
                <w:sz w:val="17"/>
              </w:rPr>
              <w:t>NeuroReview!2026-Plan</w:t>
            </w:r>
          </w:p>
        </w:tc>
      </w:tr>
      <w:tr>
        <w:trPr>
          <w:cantSplit/>
        </w:trPr>
        <w:tc>
          <w:tcPr>
            <w:tcW w:type="dxa" w:w="2304"/>
            <w:vAlign w:val="center"/>
            <w:tcMar>
              <w:top w:w="110" w:type="dxa"/>
              <w:start w:w="130" w:type="dxa"/>
              <w:bottom w:w="110" w:type="dxa"/>
              <w:end w:w="130" w:type="dxa"/>
            </w:tcMar>
            <w:shd w:fill="F5F7F9"/>
          </w:tcPr>
          <w:p>
            <w:pPr>
              <w:spacing w:after="0" w:line="252" w:lineRule="auto"/>
            </w:pPr>
            <w:r>
              <w:rPr>
                <w:rFonts w:ascii="Aptos" w:hAnsi="Aptos"/>
                <w:sz w:val="17"/>
              </w:rPr>
              <w:t>Disposable deletion test</w:t>
            </w:r>
          </w:p>
        </w:tc>
        <w:tc>
          <w:tcPr>
            <w:tcW w:type="dxa" w:w="4608"/>
            <w:vAlign w:val="center"/>
            <w:tcMar>
              <w:top w:w="110" w:type="dxa"/>
              <w:start w:w="130" w:type="dxa"/>
              <w:bottom w:w="110" w:type="dxa"/>
              <w:end w:w="130" w:type="dxa"/>
            </w:tcMar>
            <w:shd w:fill="F5F7F9"/>
          </w:tcPr>
          <w:p>
            <w:pPr>
              <w:spacing w:after="0" w:line="252" w:lineRule="auto"/>
            </w:pPr>
            <w:r>
              <w:rPr>
                <w:rFonts w:ascii="Aptos" w:hAnsi="Aptos"/>
                <w:sz w:val="17"/>
              </w:rPr>
              <w:t>appreview-delete@neurotrader-journal.com</w:t>
            </w:r>
          </w:p>
        </w:tc>
        <w:tc>
          <w:tcPr>
            <w:tcW w:type="dxa" w:w="3024"/>
            <w:vAlign w:val="center"/>
            <w:tcMar>
              <w:top w:w="110" w:type="dxa"/>
              <w:start w:w="130" w:type="dxa"/>
              <w:bottom w:w="110" w:type="dxa"/>
              <w:end w:w="130" w:type="dxa"/>
            </w:tcMar>
            <w:shd w:fill="F5F7F9"/>
          </w:tcPr>
          <w:p>
            <w:pPr>
              <w:spacing w:after="0" w:line="252" w:lineRule="auto"/>
            </w:pPr>
            <w:r>
              <w:rPr>
                <w:rFonts w:ascii="Aptos" w:hAnsi="Aptos"/>
                <w:sz w:val="17"/>
              </w:rPr>
              <w:t>NeuroReview!2026-Plan</w:t>
            </w:r>
          </w:p>
        </w:tc>
      </w:tr>
    </w:tbl>
    <w:p>
      <w:pPr>
        <w:spacing w:after="140" w:line="269" w:lineRule="auto" w:before="80"/>
      </w:pPr>
      <w:r>
        <w:t>No sample file is required. The main account is already populated with simulated review data.</w:t>
      </w:r>
    </w:p>
    <w:p>
      <w:pPr>
        <w:pStyle w:val="Heading2"/>
        <w:keepNext/>
      </w:pPr>
      <w:r>
        <w:t>Access instructions</w:t>
      </w:r>
    </w:p>
    <w:p>
      <w:pPr>
        <w:pStyle w:val="ListNumber"/>
        <w:spacing w:after="60" w:line="259" w:lineRule="auto"/>
      </w:pPr>
      <w:r>
        <w:t>Launch the latest submitted build and sign in with the main credentials. The Two-Year Growth Demo opens in Business Center.</w:t>
      </w:r>
    </w:p>
    <w:p>
      <w:pPr>
        <w:pStyle w:val="ListNumber"/>
        <w:spacing w:after="60" w:line="259" w:lineRule="auto"/>
      </w:pPr>
      <w:r>
        <w:t>Open Trading Business Plan to review the simulated $10,000-to-$250,000 two-year plan, risk controls, and completed-cycle recommendation.</w:t>
      </w:r>
    </w:p>
    <w:p>
      <w:pPr>
        <w:pStyle w:val="ListNumber"/>
        <w:spacing w:after="60" w:line="259" w:lineRule="auto"/>
      </w:pPr>
      <w:r>
        <w:t>Use Back or Return to Business Center on deeper screens; the tab bar returns home from each primary section.</w:t>
      </w:r>
    </w:p>
    <w:p>
      <w:pPr>
        <w:pStyle w:val="ListNumber"/>
        <w:spacing w:after="60" w:line="259" w:lineRule="auto"/>
      </w:pPr>
      <w:r>
        <w:t>Open P&amp;L for daily results and private journals, KPIs for objective performance measurements, and Business Notebook for the private operating book.</w:t>
      </w:r>
    </w:p>
    <w:p>
      <w:pPr>
        <w:pStyle w:val="ListNumber"/>
        <w:spacing w:after="60" w:line="259" w:lineRule="auto"/>
      </w:pPr>
      <w:r>
        <w:t>Open Coach and submit: Analyze my two-year plan objectively.</w:t>
      </w:r>
    </w:p>
    <w:p>
      <w:pPr>
        <w:pStyle w:val="ListNumber"/>
        <w:spacing w:after="60" w:line="259" w:lineRule="auto"/>
      </w:pPr>
      <w:r>
        <w:t>Open Settings to review notifications, Privacy Policy, Terms and Conditions, support, workspace reset, sign out, and permanent account deletion.</w:t>
      </w:r>
    </w:p>
    <w:p>
      <w:pPr>
        <w:pStyle w:val="ListNumber"/>
        <w:spacing w:after="60" w:line="259" w:lineRule="auto"/>
      </w:pPr>
      <w:r>
        <w:t>To test deletion, sign out and use the disposable account. In Settings, enter its email and DELETE, then confirm both native dialogs.</w:t>
      </w:r>
    </w:p>
    <w:p>
      <w:pPr>
        <w:pStyle w:val="Heading2"/>
        <w:keepNext/>
      </w:pPr>
      <w:r>
        <w:t>Demonstration data</w:t>
      </w:r>
    </w:p>
    <w:tbl>
      <w:tblPr>
        <w:tblStyle w:val="TableGrid"/>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880"/>
        <w:gridCol w:w="7056"/>
      </w:tblGrid>
      <w:tr>
        <w:trPr>
          <w:cantSplit/>
          <w:tblHeader w:val="true"/>
        </w:trPr>
        <w:tc>
          <w:tcPr>
            <w:tcW w:type="dxa" w:w="2880"/>
            <w:vAlign w:val="center"/>
            <w:tcMar>
              <w:top w:w="110" w:type="dxa"/>
              <w:start w:w="130" w:type="dxa"/>
              <w:bottom w:w="110" w:type="dxa"/>
              <w:end w:w="130" w:type="dxa"/>
            </w:tcMar>
            <w:shd w:fill="17324D"/>
          </w:tcPr>
          <w:p>
            <w:pPr>
              <w:spacing w:after="0" w:line="252" w:lineRule="auto"/>
            </w:pPr>
            <w:r>
              <w:rPr>
                <w:rFonts w:ascii="Aptos" w:hAnsi="Aptos"/>
                <w:b/>
                <w:color w:val="FFFFFF"/>
                <w:sz w:val="18"/>
              </w:rPr>
              <w:t>Field</w:t>
            </w:r>
          </w:p>
        </w:tc>
        <w:tc>
          <w:tcPr>
            <w:tcW w:type="dxa" w:w="7056"/>
            <w:vAlign w:val="center"/>
            <w:tcMar>
              <w:top w:w="110" w:type="dxa"/>
              <w:start w:w="130" w:type="dxa"/>
              <w:bottom w:w="110" w:type="dxa"/>
              <w:end w:w="130" w:type="dxa"/>
            </w:tcMar>
            <w:shd w:fill="17324D"/>
          </w:tcPr>
          <w:p>
            <w:pPr>
              <w:spacing w:after="0" w:line="252" w:lineRule="auto"/>
            </w:pPr>
            <w:r>
              <w:rPr>
                <w:rFonts w:ascii="Aptos" w:hAnsi="Aptos"/>
                <w:b/>
                <w:color w:val="FFFFFF"/>
                <w:sz w:val="18"/>
              </w:rPr>
              <w:t>Simulated value</w:t>
            </w:r>
          </w:p>
        </w:tc>
      </w:tr>
      <w:tr>
        <w:trPr>
          <w:cantSplit/>
        </w:trPr>
        <w:tc>
          <w:tcPr>
            <w:tcW w:type="dxa" w:w="2880"/>
            <w:vAlign w:val="center"/>
            <w:tcMar>
              <w:top w:w="110" w:type="dxa"/>
              <w:start w:w="130" w:type="dxa"/>
              <w:bottom w:w="110" w:type="dxa"/>
              <w:end w:w="130" w:type="dxa"/>
            </w:tcMar>
          </w:tcPr>
          <w:p>
            <w:pPr>
              <w:spacing w:after="0" w:line="252" w:lineRule="auto"/>
            </w:pPr>
            <w:r>
              <w:rPr>
                <w:rFonts w:ascii="Aptos" w:hAnsi="Aptos"/>
                <w:sz w:val="18"/>
              </w:rPr>
              <w:t>Starting balance</w:t>
            </w:r>
          </w:p>
        </w:tc>
        <w:tc>
          <w:tcPr>
            <w:tcW w:type="dxa" w:w="7056"/>
            <w:vAlign w:val="center"/>
            <w:tcMar>
              <w:top w:w="110" w:type="dxa"/>
              <w:start w:w="130" w:type="dxa"/>
              <w:bottom w:w="110" w:type="dxa"/>
              <w:end w:w="130" w:type="dxa"/>
            </w:tcMar>
          </w:tcPr>
          <w:p>
            <w:pPr>
              <w:spacing w:after="0" w:line="252" w:lineRule="auto"/>
            </w:pPr>
            <w:r>
              <w:rPr>
                <w:rFonts w:ascii="Aptos" w:hAnsi="Aptos"/>
                <w:sz w:val="18"/>
              </w:rPr>
              <w:t>$10,000.00</w:t>
            </w:r>
          </w:p>
        </w:tc>
      </w:tr>
      <w:tr>
        <w:trPr>
          <w:cantSplit/>
        </w:trPr>
        <w:tc>
          <w:tcPr>
            <w:tcW w:type="dxa" w:w="2880"/>
            <w:vAlign w:val="center"/>
            <w:tcMar>
              <w:top w:w="110" w:type="dxa"/>
              <w:start w:w="130" w:type="dxa"/>
              <w:bottom w:w="110" w:type="dxa"/>
              <w:end w:w="130" w:type="dxa"/>
            </w:tcMar>
            <w:shd w:fill="F5F7F9"/>
          </w:tcPr>
          <w:p>
            <w:pPr>
              <w:spacing w:after="0" w:line="252" w:lineRule="auto"/>
            </w:pPr>
            <w:r>
              <w:rPr>
                <w:rFonts w:ascii="Aptos" w:hAnsi="Aptos"/>
                <w:sz w:val="18"/>
              </w:rPr>
              <w:t>Plan period</w:t>
            </w:r>
          </w:p>
        </w:tc>
        <w:tc>
          <w:tcPr>
            <w:tcW w:type="dxa" w:w="7056"/>
            <w:vAlign w:val="center"/>
            <w:tcMar>
              <w:top w:w="110" w:type="dxa"/>
              <w:start w:w="130" w:type="dxa"/>
              <w:bottom w:w="110" w:type="dxa"/>
              <w:end w:w="130" w:type="dxa"/>
            </w:tcMar>
            <w:shd w:fill="F5F7F9"/>
          </w:tcPr>
          <w:p>
            <w:pPr>
              <w:spacing w:after="0" w:line="252" w:lineRule="auto"/>
            </w:pPr>
            <w:r>
              <w:rPr>
                <w:rFonts w:ascii="Aptos" w:hAnsi="Aptos"/>
                <w:sz w:val="18"/>
              </w:rPr>
              <w:t>September 11, 2024 through September 10, 2026</w:t>
            </w:r>
          </w:p>
        </w:tc>
      </w:tr>
      <w:tr>
        <w:trPr>
          <w:cantSplit/>
        </w:trPr>
        <w:tc>
          <w:tcPr>
            <w:tcW w:type="dxa" w:w="2880"/>
            <w:vAlign w:val="center"/>
            <w:tcMar>
              <w:top w:w="110" w:type="dxa"/>
              <w:start w:w="130" w:type="dxa"/>
              <w:bottom w:w="110" w:type="dxa"/>
              <w:end w:w="130" w:type="dxa"/>
            </w:tcMar>
          </w:tcPr>
          <w:p>
            <w:pPr>
              <w:spacing w:after="0" w:line="252" w:lineRule="auto"/>
            </w:pPr>
            <w:r>
              <w:rPr>
                <w:rFonts w:ascii="Aptos" w:hAnsi="Aptos"/>
                <w:sz w:val="18"/>
              </w:rPr>
              <w:t>Target balance</w:t>
            </w:r>
          </w:p>
        </w:tc>
        <w:tc>
          <w:tcPr>
            <w:tcW w:type="dxa" w:w="7056"/>
            <w:vAlign w:val="center"/>
            <w:tcMar>
              <w:top w:w="110" w:type="dxa"/>
              <w:start w:w="130" w:type="dxa"/>
              <w:bottom w:w="110" w:type="dxa"/>
              <w:end w:w="130" w:type="dxa"/>
            </w:tcMar>
          </w:tcPr>
          <w:p>
            <w:pPr>
              <w:spacing w:after="0" w:line="252" w:lineRule="auto"/>
            </w:pPr>
            <w:r>
              <w:rPr>
                <w:rFonts w:ascii="Aptos" w:hAnsi="Aptos"/>
                <w:sz w:val="18"/>
              </w:rPr>
              <w:t>$250,000.00</w:t>
            </w:r>
          </w:p>
        </w:tc>
      </w:tr>
      <w:tr>
        <w:trPr>
          <w:cantSplit/>
        </w:trPr>
        <w:tc>
          <w:tcPr>
            <w:tcW w:type="dxa" w:w="2880"/>
            <w:vAlign w:val="center"/>
            <w:tcMar>
              <w:top w:w="110" w:type="dxa"/>
              <w:start w:w="130" w:type="dxa"/>
              <w:bottom w:w="110" w:type="dxa"/>
              <w:end w:w="130" w:type="dxa"/>
            </w:tcMar>
            <w:shd w:fill="F5F7F9"/>
          </w:tcPr>
          <w:p>
            <w:pPr>
              <w:spacing w:after="0" w:line="252" w:lineRule="auto"/>
            </w:pPr>
            <w:r>
              <w:rPr>
                <w:rFonts w:ascii="Aptos" w:hAnsi="Aptos"/>
                <w:sz w:val="18"/>
              </w:rPr>
              <w:t>Ending balance</w:t>
            </w:r>
          </w:p>
        </w:tc>
        <w:tc>
          <w:tcPr>
            <w:tcW w:type="dxa" w:w="7056"/>
            <w:vAlign w:val="center"/>
            <w:tcMar>
              <w:top w:w="110" w:type="dxa"/>
              <w:start w:w="130" w:type="dxa"/>
              <w:bottom w:w="110" w:type="dxa"/>
              <w:end w:w="130" w:type="dxa"/>
            </w:tcMar>
            <w:shd w:fill="F5F7F9"/>
          </w:tcPr>
          <w:p>
            <w:pPr>
              <w:spacing w:after="0" w:line="252" w:lineRule="auto"/>
            </w:pPr>
            <w:r>
              <w:rPr>
                <w:rFonts w:ascii="Aptos" w:hAnsi="Aptos"/>
                <w:sz w:val="18"/>
              </w:rPr>
              <w:t>$250,007.28</w:t>
            </w:r>
          </w:p>
        </w:tc>
      </w:tr>
      <w:tr>
        <w:trPr>
          <w:cantSplit/>
        </w:trPr>
        <w:tc>
          <w:tcPr>
            <w:tcW w:type="dxa" w:w="2880"/>
            <w:vAlign w:val="center"/>
            <w:tcMar>
              <w:top w:w="110" w:type="dxa"/>
              <w:start w:w="130" w:type="dxa"/>
              <w:bottom w:w="110" w:type="dxa"/>
              <w:end w:w="130" w:type="dxa"/>
            </w:tcMar>
          </w:tcPr>
          <w:p>
            <w:pPr>
              <w:spacing w:after="0" w:line="252" w:lineRule="auto"/>
            </w:pPr>
            <w:r>
              <w:rPr>
                <w:rFonts w:ascii="Aptos" w:hAnsi="Aptos"/>
                <w:sz w:val="18"/>
              </w:rPr>
              <w:t>Sessions</w:t>
            </w:r>
          </w:p>
        </w:tc>
        <w:tc>
          <w:tcPr>
            <w:tcW w:type="dxa" w:w="7056"/>
            <w:vAlign w:val="center"/>
            <w:tcMar>
              <w:top w:w="110" w:type="dxa"/>
              <w:start w:w="130" w:type="dxa"/>
              <w:bottom w:w="110" w:type="dxa"/>
              <w:end w:w="130" w:type="dxa"/>
            </w:tcMar>
          </w:tcPr>
          <w:p>
            <w:pPr>
              <w:spacing w:after="0" w:line="252" w:lineRule="auto"/>
            </w:pPr>
            <w:r>
              <w:rPr>
                <w:rFonts w:ascii="Aptos" w:hAnsi="Aptos"/>
                <w:sz w:val="18"/>
              </w:rPr>
              <w:t>522 simulated weekdays</w:t>
            </w:r>
          </w:p>
        </w:tc>
      </w:tr>
      <w:tr>
        <w:trPr>
          <w:cantSplit/>
        </w:trPr>
        <w:tc>
          <w:tcPr>
            <w:tcW w:type="dxa" w:w="2880"/>
            <w:vAlign w:val="center"/>
            <w:tcMar>
              <w:top w:w="110" w:type="dxa"/>
              <w:start w:w="130" w:type="dxa"/>
              <w:bottom w:w="110" w:type="dxa"/>
              <w:end w:w="130" w:type="dxa"/>
            </w:tcMar>
            <w:shd w:fill="F5F7F9"/>
          </w:tcPr>
          <w:p>
            <w:pPr>
              <w:spacing w:after="0" w:line="252" w:lineRule="auto"/>
            </w:pPr>
            <w:r>
              <w:rPr>
                <w:rFonts w:ascii="Aptos" w:hAnsi="Aptos"/>
                <w:sz w:val="18"/>
              </w:rPr>
              <w:t>Risk controls</w:t>
            </w:r>
          </w:p>
        </w:tc>
        <w:tc>
          <w:tcPr>
            <w:tcW w:type="dxa" w:w="7056"/>
            <w:vAlign w:val="center"/>
            <w:tcMar>
              <w:top w:w="110" w:type="dxa"/>
              <w:start w:w="130" w:type="dxa"/>
              <w:bottom w:w="110" w:type="dxa"/>
              <w:end w:w="130" w:type="dxa"/>
            </w:tcMar>
            <w:shd w:fill="F5F7F9"/>
          </w:tcPr>
          <w:p>
            <w:pPr>
              <w:spacing w:after="0" w:line="252" w:lineRule="auto"/>
            </w:pPr>
            <w:r>
              <w:rPr>
                <w:rFonts w:ascii="Aptos" w:hAnsi="Aptos"/>
                <w:sz w:val="18"/>
              </w:rPr>
              <w:t>0.50% per trade and 1.00% daily loss ceilings</w:t>
            </w:r>
          </w:p>
        </w:tc>
      </w:tr>
    </w:tbl>
    <w:p>
      <w:pPr>
        <w:pStyle w:val="Heading1"/>
        <w:keepNext/>
      </w:pPr>
      <w:r>
        <w:t>4 External Services Tools and Platforms</w:t>
      </w:r>
    </w:p>
    <w:p>
      <w:pPr>
        <w:spacing w:after="120" w:line="269" w:lineRule="auto"/>
      </w:pPr>
      <w:r>
        <w:t>The following services support the submitted iOS app. Access is authenticated and the app sends only the information needed for the user-requested feature or operational purpose.</w:t>
      </w:r>
    </w:p>
    <w:tbl>
      <w:tblPr>
        <w:tblStyle w:val="TableGrid"/>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843"/>
        <w:gridCol w:w="3427"/>
        <w:gridCol w:w="4666"/>
      </w:tblGrid>
      <w:tr>
        <w:trPr>
          <w:cantSplit/>
          <w:tblHeader w:val="true"/>
        </w:trPr>
        <w:tc>
          <w:tcPr>
            <w:tcW w:type="dxa" w:w="1843"/>
            <w:vAlign w:val="center"/>
            <w:tcMar>
              <w:top w:w="110" w:type="dxa"/>
              <w:start w:w="130" w:type="dxa"/>
              <w:bottom w:w="110" w:type="dxa"/>
              <w:end w:w="130" w:type="dxa"/>
            </w:tcMar>
            <w:shd w:fill="17324D"/>
          </w:tcPr>
          <w:p>
            <w:pPr>
              <w:spacing w:after="0" w:line="252" w:lineRule="auto"/>
            </w:pPr>
            <w:r>
              <w:rPr>
                <w:rFonts w:ascii="Aptos" w:hAnsi="Aptos"/>
                <w:b/>
                <w:color w:val="FFFFFF"/>
                <w:sz w:val="17"/>
              </w:rPr>
              <w:t>Service</w:t>
            </w:r>
          </w:p>
        </w:tc>
        <w:tc>
          <w:tcPr>
            <w:tcW w:type="dxa" w:w="3427"/>
            <w:vAlign w:val="center"/>
            <w:tcMar>
              <w:top w:w="110" w:type="dxa"/>
              <w:start w:w="130" w:type="dxa"/>
              <w:bottom w:w="110" w:type="dxa"/>
              <w:end w:w="130" w:type="dxa"/>
            </w:tcMar>
            <w:shd w:fill="17324D"/>
          </w:tcPr>
          <w:p>
            <w:pPr>
              <w:spacing w:after="0" w:line="252" w:lineRule="auto"/>
            </w:pPr>
            <w:r>
              <w:rPr>
                <w:rFonts w:ascii="Aptos" w:hAnsi="Aptos"/>
                <w:b/>
                <w:color w:val="FFFFFF"/>
                <w:sz w:val="17"/>
              </w:rPr>
              <w:t>Purpose</w:t>
            </w:r>
          </w:p>
        </w:tc>
        <w:tc>
          <w:tcPr>
            <w:tcW w:type="dxa" w:w="4666"/>
            <w:vAlign w:val="center"/>
            <w:tcMar>
              <w:top w:w="110" w:type="dxa"/>
              <w:start w:w="130" w:type="dxa"/>
              <w:bottom w:w="110" w:type="dxa"/>
              <w:end w:w="130" w:type="dxa"/>
            </w:tcMar>
            <w:shd w:fill="17324D"/>
          </w:tcPr>
          <w:p>
            <w:pPr>
              <w:spacing w:after="0" w:line="252" w:lineRule="auto"/>
            </w:pPr>
            <w:r>
              <w:rPr>
                <w:rFonts w:ascii="Aptos" w:hAnsi="Aptos"/>
                <w:b/>
                <w:color w:val="FFFFFF"/>
                <w:sz w:val="17"/>
              </w:rPr>
              <w:t>Relevant information</w:t>
            </w:r>
          </w:p>
        </w:tc>
      </w:tr>
      <w:tr>
        <w:trPr>
          <w:cantSplit/>
        </w:trPr>
        <w:tc>
          <w:tcPr>
            <w:tcW w:type="dxa" w:w="1843"/>
            <w:vAlign w:val="center"/>
            <w:tcMar>
              <w:top w:w="110" w:type="dxa"/>
              <w:start w:w="130" w:type="dxa"/>
              <w:bottom w:w="110" w:type="dxa"/>
              <w:end w:w="130" w:type="dxa"/>
            </w:tcMar>
          </w:tcPr>
          <w:p>
            <w:pPr>
              <w:spacing w:after="0" w:line="252" w:lineRule="auto"/>
            </w:pPr>
            <w:r>
              <w:rPr>
                <w:rFonts w:ascii="Aptos" w:hAnsi="Aptos"/>
                <w:sz w:val="17"/>
              </w:rPr>
              <w:t>Supabase</w:t>
            </w:r>
          </w:p>
        </w:tc>
        <w:tc>
          <w:tcPr>
            <w:tcW w:type="dxa" w:w="3427"/>
            <w:vAlign w:val="center"/>
            <w:tcMar>
              <w:top w:w="110" w:type="dxa"/>
              <w:start w:w="130" w:type="dxa"/>
              <w:bottom w:w="110" w:type="dxa"/>
              <w:end w:w="130" w:type="dxa"/>
            </w:tcMar>
          </w:tcPr>
          <w:p>
            <w:pPr>
              <w:spacing w:after="0" w:line="252" w:lineRule="auto"/>
            </w:pPr>
            <w:r>
              <w:rPr>
                <w:rFonts w:ascii="Aptos" w:hAnsi="Aptos"/>
                <w:sz w:val="17"/>
              </w:rPr>
              <w:t>Authentication, account access, database, and private file storage</w:t>
            </w:r>
          </w:p>
        </w:tc>
        <w:tc>
          <w:tcPr>
            <w:tcW w:type="dxa" w:w="4666"/>
            <w:vAlign w:val="center"/>
            <w:tcMar>
              <w:top w:w="110" w:type="dxa"/>
              <w:start w:w="130" w:type="dxa"/>
              <w:bottom w:w="110" w:type="dxa"/>
              <w:end w:w="130" w:type="dxa"/>
            </w:tcMar>
          </w:tcPr>
          <w:p>
            <w:pPr>
              <w:spacing w:after="0" w:line="252" w:lineRule="auto"/>
            </w:pPr>
            <w:r>
              <w:rPr>
                <w:rFonts w:ascii="Aptos" w:hAnsi="Aptos"/>
                <w:sz w:val="17"/>
              </w:rPr>
              <w:t>Account profile, access status, private workspace records, and stored attachments</w:t>
            </w:r>
          </w:p>
        </w:tc>
      </w:tr>
      <w:tr>
        <w:trPr>
          <w:cantSplit/>
        </w:trPr>
        <w:tc>
          <w:tcPr>
            <w:tcW w:type="dxa" w:w="1843"/>
            <w:vAlign w:val="center"/>
            <w:tcMar>
              <w:top w:w="110" w:type="dxa"/>
              <w:start w:w="130" w:type="dxa"/>
              <w:bottom w:w="110" w:type="dxa"/>
              <w:end w:w="130" w:type="dxa"/>
            </w:tcMar>
            <w:shd w:fill="F5F7F9"/>
          </w:tcPr>
          <w:p>
            <w:pPr>
              <w:spacing w:after="0" w:line="252" w:lineRule="auto"/>
            </w:pPr>
            <w:r>
              <w:rPr>
                <w:rFonts w:ascii="Aptos" w:hAnsi="Aptos"/>
                <w:sz w:val="17"/>
              </w:rPr>
              <w:t>Vercel</w:t>
            </w:r>
          </w:p>
        </w:tc>
        <w:tc>
          <w:tcPr>
            <w:tcW w:type="dxa" w:w="3427"/>
            <w:vAlign w:val="center"/>
            <w:tcMar>
              <w:top w:w="110" w:type="dxa"/>
              <w:start w:w="130" w:type="dxa"/>
              <w:bottom w:w="110" w:type="dxa"/>
              <w:end w:w="130" w:type="dxa"/>
            </w:tcMar>
            <w:shd w:fill="F5F7F9"/>
          </w:tcPr>
          <w:p>
            <w:pPr>
              <w:spacing w:after="0" w:line="252" w:lineRule="auto"/>
            </w:pPr>
            <w:r>
              <w:rPr>
                <w:rFonts w:ascii="Aptos" w:hAnsi="Aptos"/>
                <w:sz w:val="17"/>
              </w:rPr>
              <w:t>Hosting and authenticated application APIs</w:t>
            </w:r>
          </w:p>
        </w:tc>
        <w:tc>
          <w:tcPr>
            <w:tcW w:type="dxa" w:w="4666"/>
            <w:vAlign w:val="center"/>
            <w:tcMar>
              <w:top w:w="110" w:type="dxa"/>
              <w:start w:w="130" w:type="dxa"/>
              <w:bottom w:w="110" w:type="dxa"/>
              <w:end w:w="130" w:type="dxa"/>
            </w:tcMar>
            <w:shd w:fill="F5F7F9"/>
          </w:tcPr>
          <w:p>
            <w:pPr>
              <w:spacing w:after="0" w:line="252" w:lineRule="auto"/>
            </w:pPr>
            <w:r>
              <w:rPr>
                <w:rFonts w:ascii="Aptos" w:hAnsi="Aptos"/>
                <w:sz w:val="17"/>
              </w:rPr>
              <w:t>Requests, responses, and limited operational logs needed to provide the service</w:t>
            </w:r>
          </w:p>
        </w:tc>
      </w:tr>
      <w:tr>
        <w:trPr>
          <w:cantSplit/>
        </w:trPr>
        <w:tc>
          <w:tcPr>
            <w:tcW w:type="dxa" w:w="1843"/>
            <w:vAlign w:val="center"/>
            <w:tcMar>
              <w:top w:w="110" w:type="dxa"/>
              <w:start w:w="130" w:type="dxa"/>
              <w:bottom w:w="110" w:type="dxa"/>
              <w:end w:w="130" w:type="dxa"/>
            </w:tcMar>
          </w:tcPr>
          <w:p>
            <w:pPr>
              <w:spacing w:after="0" w:line="252" w:lineRule="auto"/>
            </w:pPr>
            <w:r>
              <w:rPr>
                <w:rFonts w:ascii="Aptos" w:hAnsi="Aptos"/>
                <w:sz w:val="17"/>
              </w:rPr>
              <w:t>OpenAI API</w:t>
            </w:r>
          </w:p>
        </w:tc>
        <w:tc>
          <w:tcPr>
            <w:tcW w:type="dxa" w:w="3427"/>
            <w:vAlign w:val="center"/>
            <w:tcMar>
              <w:top w:w="110" w:type="dxa"/>
              <w:start w:w="130" w:type="dxa"/>
              <w:bottom w:w="110" w:type="dxa"/>
              <w:end w:w="130" w:type="dxa"/>
            </w:tcMar>
          </w:tcPr>
          <w:p>
            <w:pPr>
              <w:spacing w:after="0" w:line="252" w:lineRule="auto"/>
            </w:pPr>
            <w:r>
              <w:rPr>
                <w:rFonts w:ascii="Aptos" w:hAnsi="Aptos"/>
                <w:sz w:val="17"/>
              </w:rPr>
              <w:t>Educational AI Coach responses</w:t>
            </w:r>
          </w:p>
        </w:tc>
        <w:tc>
          <w:tcPr>
            <w:tcW w:type="dxa" w:w="4666"/>
            <w:vAlign w:val="center"/>
            <w:tcMar>
              <w:top w:w="110" w:type="dxa"/>
              <w:start w:w="130" w:type="dxa"/>
              <w:bottom w:w="110" w:type="dxa"/>
              <w:end w:w="130" w:type="dxa"/>
            </w:tcMar>
          </w:tcPr>
          <w:p>
            <w:pPr>
              <w:spacing w:after="0" w:line="252" w:lineRule="auto"/>
            </w:pPr>
            <w:r>
              <w:rPr>
                <w:rFonts w:ascii="Aptos" w:hAnsi="Aptos"/>
                <w:sz w:val="17"/>
              </w:rPr>
              <w:t>Only the selected plans, journal records, trades, analytics, notes, screenshots, and conversation context needed for the user's request</w:t>
            </w:r>
          </w:p>
        </w:tc>
      </w:tr>
      <w:tr>
        <w:trPr>
          <w:cantSplit/>
        </w:trPr>
        <w:tc>
          <w:tcPr>
            <w:tcW w:type="dxa" w:w="1843"/>
            <w:vAlign w:val="center"/>
            <w:tcMar>
              <w:top w:w="110" w:type="dxa"/>
              <w:start w:w="130" w:type="dxa"/>
              <w:bottom w:w="110" w:type="dxa"/>
              <w:end w:w="130" w:type="dxa"/>
            </w:tcMar>
            <w:shd w:fill="F5F7F9"/>
          </w:tcPr>
          <w:p>
            <w:pPr>
              <w:spacing w:after="0" w:line="252" w:lineRule="auto"/>
            </w:pPr>
            <w:r>
              <w:rPr>
                <w:rFonts w:ascii="Aptos" w:hAnsi="Aptos"/>
                <w:sz w:val="17"/>
              </w:rPr>
              <w:t>Expo and Apple Push Notification service</w:t>
            </w:r>
          </w:p>
        </w:tc>
        <w:tc>
          <w:tcPr>
            <w:tcW w:type="dxa" w:w="3427"/>
            <w:vAlign w:val="center"/>
            <w:tcMar>
              <w:top w:w="110" w:type="dxa"/>
              <w:start w:w="130" w:type="dxa"/>
              <w:bottom w:w="110" w:type="dxa"/>
              <w:end w:w="130" w:type="dxa"/>
            </w:tcMar>
            <w:shd w:fill="F5F7F9"/>
          </w:tcPr>
          <w:p>
            <w:pPr>
              <w:spacing w:after="0" w:line="252" w:lineRule="auto"/>
            </w:pPr>
            <w:r>
              <w:rPr>
                <w:rFonts w:ascii="Aptos" w:hAnsi="Aptos"/>
                <w:sz w:val="17"/>
              </w:rPr>
              <w:t>Mobile build services, device registration, and optional reminders</w:t>
            </w:r>
          </w:p>
        </w:tc>
        <w:tc>
          <w:tcPr>
            <w:tcW w:type="dxa" w:w="4666"/>
            <w:vAlign w:val="center"/>
            <w:tcMar>
              <w:top w:w="110" w:type="dxa"/>
              <w:start w:w="130" w:type="dxa"/>
              <w:bottom w:w="110" w:type="dxa"/>
              <w:end w:w="130" w:type="dxa"/>
            </w:tcMar>
            <w:shd w:fill="F5F7F9"/>
          </w:tcPr>
          <w:p>
            <w:pPr>
              <w:spacing w:after="0" w:line="252" w:lineRule="auto"/>
            </w:pPr>
            <w:r>
              <w:rPr>
                <w:rFonts w:ascii="Aptos" w:hAnsi="Aptos"/>
                <w:sz w:val="17"/>
              </w:rPr>
              <w:t>App/device identifiers, locale, push token, and notification preferences</w:t>
            </w:r>
          </w:p>
        </w:tc>
      </w:tr>
      <w:tr>
        <w:trPr>
          <w:cantSplit/>
        </w:trPr>
        <w:tc>
          <w:tcPr>
            <w:tcW w:type="dxa" w:w="1843"/>
            <w:vAlign w:val="center"/>
            <w:tcMar>
              <w:top w:w="110" w:type="dxa"/>
              <w:start w:w="130" w:type="dxa"/>
              <w:bottom w:w="110" w:type="dxa"/>
              <w:end w:w="130" w:type="dxa"/>
            </w:tcMar>
          </w:tcPr>
          <w:p>
            <w:pPr>
              <w:spacing w:after="0" w:line="252" w:lineRule="auto"/>
            </w:pPr>
            <w:r>
              <w:rPr>
                <w:rFonts w:ascii="Aptos" w:hAnsi="Aptos"/>
                <w:sz w:val="17"/>
              </w:rPr>
              <w:t>Resend</w:t>
            </w:r>
          </w:p>
        </w:tc>
        <w:tc>
          <w:tcPr>
            <w:tcW w:type="dxa" w:w="3427"/>
            <w:vAlign w:val="center"/>
            <w:tcMar>
              <w:top w:w="110" w:type="dxa"/>
              <w:start w:w="130" w:type="dxa"/>
              <w:bottom w:w="110" w:type="dxa"/>
              <w:end w:w="130" w:type="dxa"/>
            </w:tcMar>
          </w:tcPr>
          <w:p>
            <w:pPr>
              <w:spacing w:after="0" w:line="252" w:lineRule="auto"/>
            </w:pPr>
            <w:r>
              <w:rPr>
                <w:rFonts w:ascii="Aptos" w:hAnsi="Aptos"/>
                <w:sz w:val="17"/>
              </w:rPr>
              <w:t>Account, security, support, and service email</w:t>
            </w:r>
          </w:p>
        </w:tc>
        <w:tc>
          <w:tcPr>
            <w:tcW w:type="dxa" w:w="4666"/>
            <w:vAlign w:val="center"/>
            <w:tcMar>
              <w:top w:w="110" w:type="dxa"/>
              <w:start w:w="130" w:type="dxa"/>
              <w:bottom w:w="110" w:type="dxa"/>
              <w:end w:w="130" w:type="dxa"/>
            </w:tcMar>
          </w:tcPr>
          <w:p>
            <w:pPr>
              <w:spacing w:after="0" w:line="252" w:lineRule="auto"/>
            </w:pPr>
            <w:r>
              <w:rPr>
                <w:rFonts w:ascii="Aptos" w:hAnsi="Aptos"/>
                <w:sz w:val="17"/>
              </w:rPr>
              <w:t>Email address and the content necessary for the service message</w:t>
            </w:r>
          </w:p>
        </w:tc>
      </w:tr>
      <w:tr>
        <w:trPr>
          <w:cantSplit/>
        </w:trPr>
        <w:tc>
          <w:tcPr>
            <w:tcW w:type="dxa" w:w="1843"/>
            <w:vAlign w:val="center"/>
            <w:tcMar>
              <w:top w:w="110" w:type="dxa"/>
              <w:start w:w="130" w:type="dxa"/>
              <w:bottom w:w="110" w:type="dxa"/>
              <w:end w:w="130" w:type="dxa"/>
            </w:tcMar>
            <w:shd w:fill="F5F7F9"/>
          </w:tcPr>
          <w:p>
            <w:pPr>
              <w:spacing w:after="0" w:line="252" w:lineRule="auto"/>
            </w:pPr>
            <w:r>
              <w:rPr>
                <w:rFonts w:ascii="Aptos" w:hAnsi="Aptos"/>
                <w:sz w:val="17"/>
              </w:rPr>
              <w:t>Stripe</w:t>
            </w:r>
          </w:p>
        </w:tc>
        <w:tc>
          <w:tcPr>
            <w:tcW w:type="dxa" w:w="3427"/>
            <w:vAlign w:val="center"/>
            <w:tcMar>
              <w:top w:w="110" w:type="dxa"/>
              <w:start w:w="130" w:type="dxa"/>
              <w:bottom w:w="110" w:type="dxa"/>
              <w:end w:w="130" w:type="dxa"/>
            </w:tcMar>
            <w:shd w:fill="F5F7F9"/>
          </w:tcPr>
          <w:p>
            <w:pPr>
              <w:spacing w:after="0" w:line="252" w:lineRule="auto"/>
            </w:pPr>
            <w:r>
              <w:rPr>
                <w:rFonts w:ascii="Aptos" w:hAnsi="Aptos"/>
                <w:sz w:val="17"/>
              </w:rPr>
              <w:t>Memberships initiated and managed outside the submitted iOS app</w:t>
            </w:r>
          </w:p>
        </w:tc>
        <w:tc>
          <w:tcPr>
            <w:tcW w:type="dxa" w:w="4666"/>
            <w:vAlign w:val="center"/>
            <w:tcMar>
              <w:top w:w="110" w:type="dxa"/>
              <w:start w:w="130" w:type="dxa"/>
              <w:bottom w:w="110" w:type="dxa"/>
              <w:end w:w="130" w:type="dxa"/>
            </w:tcMar>
            <w:shd w:fill="F5F7F9"/>
          </w:tcPr>
          <w:p>
            <w:pPr>
              <w:spacing w:after="0" w:line="252" w:lineRule="auto"/>
            </w:pPr>
            <w:r>
              <w:rPr>
                <w:rFonts w:ascii="Aptos" w:hAnsi="Aptos"/>
                <w:sz w:val="17"/>
              </w:rPr>
              <w:t>External billing and membership status; no payment details or purchase flow is presented in iOS</w:t>
            </w:r>
          </w:p>
        </w:tc>
      </w:tr>
    </w:tbl>
    <w:p>
      <w:pPr>
        <w:spacing w:after="120" w:line="269" w:lineRule="auto"/>
      </w:pPr>
      <w:r>
        <w:rPr>
          <w:b/>
        </w:rPr>
        <w:t>AI processing consent:</w:t>
      </w:r>
      <w:r>
        <w:t xml:space="preserve"> If the Terms or Privacy Policy version changes, private workspace access is blocked until the authenticated user reviews and affirmatively accepts the current documents. The mobile disclosure expressly identifies the categories of selected records that may be sent to OpenAI or another disclosed AI provider when the user chooses an AI feature.</w:t>
      </w:r>
    </w:p>
    <w:p>
      <w:pPr>
        <w:spacing w:after="120" w:line="269" w:lineRule="auto"/>
      </w:pPr>
      <w:r>
        <w:rPr>
          <w:b/>
        </w:rPr>
        <w:t>Broker connectivity:</w:t>
      </w:r>
      <w:r>
        <w:t xml:space="preserve"> Direct broker connections are disabled in the submitted iOS build while provider approvals and production readiness are completed. The submitted build does not place trades, route orders, withdraw funds, or custody assets.</w:t>
      </w:r>
    </w:p>
    <w:p>
      <w:pPr>
        <w:pStyle w:val="Heading1"/>
        <w:keepNext/>
      </w:pPr>
      <w:r>
        <w:t>5 Regional Differences</w:t>
      </w:r>
    </w:p>
    <w:p>
      <w:pPr>
        <w:spacing w:after="120" w:line="269" w:lineRule="auto"/>
      </w:pPr>
      <w:r>
        <w:t>The submitted app provides the same core features and content in every supported App Store region. Users may choose English or Spanish. Optional notifications depend on device permission and Apple service availability. Direct broker connections are disabled in this build, so there are no regional broker-feature differences in the submitted binary.</w:t>
      </w:r>
    </w:p>
    <w:p>
      <w:pPr>
        <w:spacing w:after="120" w:line="269" w:lineRule="auto"/>
      </w:pPr>
      <w:r>
        <w:t>The educational-use limitations, no-advice disclosures, privacy controls, account deletion capability, and access rules apply consistently in all supported regions. Local law may provide users with additional privacy or consumer rights, which are addressed through the Privacy Policy and Terms and Conditions.</w:t>
      </w:r>
    </w:p>
    <w:p>
      <w:pPr>
        <w:pStyle w:val="Heading1"/>
        <w:keepNext/>
      </w:pPr>
      <w:r>
        <w:t>6 Regulated Activity and Protected Material</w:t>
      </w:r>
    </w:p>
    <w:p>
      <w:pPr>
        <w:pStyle w:val="Heading2"/>
        <w:keepNext/>
      </w:pPr>
      <w:r>
        <w:t>Regulated activity</w:t>
      </w:r>
    </w:p>
    <w:p>
      <w:pPr>
        <w:spacing w:after="120" w:line="269" w:lineRule="auto"/>
      </w:pPr>
      <w:r>
        <w:t>NeuroTrader is operated by SG PAX CORP. as educational recordkeeping, simulation, analytics, planning, and business-accountability software. The submitted app is not a broker-dealer, investment adviser, exchange, custodian, prop firm, or trade-execution service. It does not open brokerage accounts, accept deposits, hold customer assets, execute or route orders, manage portfolios, or exercise trading discretion for users.</w:t>
      </w:r>
    </w:p>
    <w:p>
      <w:pPr>
        <w:spacing w:after="120" w:line="269" w:lineRule="auto"/>
      </w:pPr>
      <w:r>
        <w:t>The app does not recommend that a user buy, sell, hold, or trade a specific security. AI Coach and other analytical outputs are generated for educational reflection based on user-provided records. They are not individualized financial, investment, trading, legal, tax, or accounting advice and do not guarantee results.</w:t>
      </w:r>
    </w:p>
    <w:p>
      <w:pPr>
        <w:pStyle w:val="Heading2"/>
        <w:keepNext/>
      </w:pPr>
      <w:r>
        <w:t>Protected third party material</w:t>
      </w:r>
    </w:p>
    <w:p>
      <w:pPr>
        <w:spacing w:after="120" w:line="269" w:lineRule="auto"/>
      </w:pPr>
      <w:r>
        <w:t>The submitted iOS app does not display, reproduce, distribute, or provide access to third-party curriculum books, paid educational PDFs, or protected training material. No third-party curriculum PDF is included in the app binary or delivered to users through the submitted app. Product copy, workflows, calculations, interface elements, and simulated review data are owned by the developer or were created specifically for NeuroTrader.</w:t>
      </w:r>
    </w:p>
    <w:p>
      <w:pPr>
        <w:spacing w:after="120" w:line="269" w:lineRule="auto"/>
      </w:pPr>
      <w:r>
        <w:t>Third-party names or services, when referenced in operational disclosures, are used only to identify compatibility or a service provider and do not imply sponsorship, endorsement, or affiliation. SG PAX CORP. can provide organizational documentation or additional clarification if requested by App Review.</w:t>
      </w:r>
    </w:p>
    <w:p>
      <w:pPr>
        <w:pStyle w:val="Heading1"/>
        <w:keepNext/>
      </w:pPr>
      <w:r>
        <w:t>Reviewer Support</w:t>
      </w:r>
    </w:p>
    <w:tbl>
      <w:tblPr>
        <w:tblStyle w:val="TableGrid"/>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376"/>
        <w:gridCol w:w="7560"/>
      </w:tblGrid>
      <w:tr>
        <w:trPr>
          <w:cantSplit/>
          <w:tblHeader w:val="true"/>
        </w:trPr>
        <w:tc>
          <w:tcPr>
            <w:tcW w:type="dxa" w:w="2376"/>
            <w:vAlign w:val="center"/>
            <w:tcMar>
              <w:top w:w="110" w:type="dxa"/>
              <w:start w:w="130" w:type="dxa"/>
              <w:bottom w:w="110" w:type="dxa"/>
              <w:end w:w="130" w:type="dxa"/>
            </w:tcMar>
            <w:shd w:fill="17324D"/>
          </w:tcPr>
          <w:p>
            <w:pPr>
              <w:spacing w:after="0" w:line="252" w:lineRule="auto"/>
            </w:pPr>
            <w:r>
              <w:rPr>
                <w:rFonts w:ascii="Aptos" w:hAnsi="Aptos"/>
                <w:b/>
                <w:color w:val="FFFFFF"/>
                <w:sz w:val="19"/>
              </w:rPr>
              <w:t>Reviewer resource</w:t>
            </w:r>
          </w:p>
        </w:tc>
        <w:tc>
          <w:tcPr>
            <w:tcW w:type="dxa" w:w="7560"/>
            <w:vAlign w:val="center"/>
            <w:tcMar>
              <w:top w:w="110" w:type="dxa"/>
              <w:start w:w="130" w:type="dxa"/>
              <w:bottom w:w="110" w:type="dxa"/>
              <w:end w:w="130" w:type="dxa"/>
            </w:tcMar>
            <w:shd w:fill="17324D"/>
          </w:tcPr>
          <w:p>
            <w:pPr>
              <w:spacing w:after="0" w:line="252" w:lineRule="auto"/>
            </w:pPr>
            <w:r>
              <w:rPr>
                <w:rFonts w:ascii="Aptos" w:hAnsi="Aptos"/>
                <w:b/>
                <w:color w:val="FFFFFF"/>
                <w:sz w:val="19"/>
              </w:rPr>
              <w:t>Information</w:t>
            </w:r>
          </w:p>
        </w:tc>
      </w:tr>
      <w:tr>
        <w:trPr>
          <w:cantSplit/>
        </w:trPr>
        <w:tc>
          <w:tcPr>
            <w:tcW w:type="dxa" w:w="2376"/>
            <w:vAlign w:val="center"/>
            <w:tcMar>
              <w:top w:w="110" w:type="dxa"/>
              <w:start w:w="130" w:type="dxa"/>
              <w:bottom w:w="110" w:type="dxa"/>
              <w:end w:w="130" w:type="dxa"/>
            </w:tcMar>
          </w:tcPr>
          <w:p>
            <w:pPr>
              <w:spacing w:after="0" w:line="252" w:lineRule="auto"/>
            </w:pPr>
            <w:r>
              <w:rPr>
                <w:rFonts w:ascii="Aptos" w:hAnsi="Aptos"/>
                <w:b/>
                <w:sz w:val="19"/>
              </w:rPr>
              <w:t>Support email</w:t>
            </w:r>
          </w:p>
        </w:tc>
        <w:tc>
          <w:tcPr>
            <w:tcW w:type="dxa" w:w="7560"/>
            <w:vAlign w:val="center"/>
            <w:tcMar>
              <w:top w:w="110" w:type="dxa"/>
              <w:start w:w="130" w:type="dxa"/>
              <w:bottom w:w="110" w:type="dxa"/>
              <w:end w:w="130" w:type="dxa"/>
            </w:tcMar>
          </w:tcPr>
          <w:p>
            <w:pPr>
              <w:spacing w:after="0" w:line="252" w:lineRule="auto"/>
            </w:pPr>
            <w:r>
              <w:rPr>
                <w:rFonts w:ascii="Aptos" w:hAnsi="Aptos"/>
                <w:sz w:val="19"/>
              </w:rPr>
              <w:t>support@neurotrader-journal.com</w:t>
            </w:r>
          </w:p>
        </w:tc>
      </w:tr>
      <w:tr>
        <w:trPr>
          <w:cantSplit/>
        </w:trPr>
        <w:tc>
          <w:tcPr>
            <w:tcW w:type="dxa" w:w="2376"/>
            <w:vAlign w:val="center"/>
            <w:tcMar>
              <w:top w:w="110" w:type="dxa"/>
              <w:start w:w="130" w:type="dxa"/>
              <w:bottom w:w="110" w:type="dxa"/>
              <w:end w:w="130" w:type="dxa"/>
            </w:tcMar>
            <w:shd w:fill="F5F7F9"/>
          </w:tcPr>
          <w:p>
            <w:pPr>
              <w:spacing w:after="0" w:line="252" w:lineRule="auto"/>
            </w:pPr>
            <w:r>
              <w:rPr>
                <w:rFonts w:ascii="Aptos" w:hAnsi="Aptos"/>
                <w:b/>
                <w:sz w:val="19"/>
              </w:rPr>
              <w:t>Privacy Policy</w:t>
            </w:r>
          </w:p>
        </w:tc>
        <w:tc>
          <w:tcPr>
            <w:tcW w:type="dxa" w:w="7560"/>
            <w:vAlign w:val="center"/>
            <w:tcMar>
              <w:top w:w="110" w:type="dxa"/>
              <w:start w:w="130" w:type="dxa"/>
              <w:bottom w:w="110" w:type="dxa"/>
              <w:end w:w="130" w:type="dxa"/>
            </w:tcMar>
            <w:shd w:fill="F5F7F9"/>
          </w:tcPr>
          <w:p>
            <w:pPr>
              <w:spacing w:after="0" w:line="252" w:lineRule="auto"/>
            </w:pPr>
            <w:r>
              <w:rPr>
                <w:rFonts w:ascii="Aptos" w:hAnsi="Aptos"/>
                <w:sz w:val="19"/>
              </w:rPr>
              <w:t>https://www.neurotrader-journal.com/privacy</w:t>
            </w:r>
          </w:p>
        </w:tc>
      </w:tr>
      <w:tr>
        <w:trPr>
          <w:cantSplit/>
        </w:trPr>
        <w:tc>
          <w:tcPr>
            <w:tcW w:type="dxa" w:w="2376"/>
            <w:vAlign w:val="center"/>
            <w:tcMar>
              <w:top w:w="110" w:type="dxa"/>
              <w:start w:w="130" w:type="dxa"/>
              <w:bottom w:w="110" w:type="dxa"/>
              <w:end w:w="130" w:type="dxa"/>
            </w:tcMar>
          </w:tcPr>
          <w:p>
            <w:pPr>
              <w:spacing w:after="0" w:line="252" w:lineRule="auto"/>
            </w:pPr>
            <w:r>
              <w:rPr>
                <w:rFonts w:ascii="Aptos" w:hAnsi="Aptos"/>
                <w:b/>
                <w:sz w:val="19"/>
              </w:rPr>
              <w:t>Terms and Conditions</w:t>
            </w:r>
          </w:p>
        </w:tc>
        <w:tc>
          <w:tcPr>
            <w:tcW w:type="dxa" w:w="7560"/>
            <w:vAlign w:val="center"/>
            <w:tcMar>
              <w:top w:w="110" w:type="dxa"/>
              <w:start w:w="130" w:type="dxa"/>
              <w:bottom w:w="110" w:type="dxa"/>
              <w:end w:w="130" w:type="dxa"/>
            </w:tcMar>
          </w:tcPr>
          <w:p>
            <w:pPr>
              <w:spacing w:after="0" w:line="252" w:lineRule="auto"/>
            </w:pPr>
            <w:r>
              <w:rPr>
                <w:rFonts w:ascii="Aptos" w:hAnsi="Aptos"/>
                <w:sz w:val="19"/>
              </w:rPr>
              <w:t>https://www.neurotrader-journal.com/terms</w:t>
            </w:r>
          </w:p>
        </w:tc>
      </w:tr>
    </w:tbl>
    <w:p>
      <w:pPr>
        <w:spacing w:after="20"/>
      </w:pPr>
    </w:p>
    <w:p>
      <w:pPr>
        <w:spacing w:after="0" w:line="269" w:lineRule="auto"/>
      </w:pPr>
      <w:r>
        <w:t>We respectfully request review of the latest submitted build using the supplied demonstration accounts and attached physical-device recording. We are available to provide any additional information required to complete the review.</w:t>
      </w:r>
    </w:p>
    <w:sectPr w:rsidR="00FC693F" w:rsidRPr="0006063C" w:rsidSect="00034616">
      <w:headerReference w:type="default" r:id="rId9"/>
      <w:headerReference w:type="even" r:id="rId10"/>
      <w:headerReference w:type="first" r:id="rId11"/>
      <w:footerReference w:type="default" r:id="rId12"/>
      <w:footerReference w:type="even" r:id="rId13"/>
      <w:footerReference w:type="first" r:id="rId14"/>
      <w:pgSz w:w="12240" w:h="15840"/>
      <w:pgMar w:top="979" w:right="1123" w:bottom="893" w:left="1123"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67085"/>
        <w:sz w:val="16"/>
      </w:rPr>
      <w:t xml:space="preserve">SG PAX CORP.  |  Confidential review information     </w:t>
    </w:r>
    <w:r>
      <w:rPr>
        <w:rFonts w:ascii="Aptos" w:hAnsi="Aptos"/>
        <w:color w:val="667085"/>
        <w:sz w:val="18"/>
      </w:rPr>
      <w:t xml:space="preserve">Page </w:t>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67085"/>
        <w:sz w:val="16"/>
      </w:rPr>
      <w:t xml:space="preserve">SG PAX CORP.  |  Confidential review information     </w:t>
    </w:r>
    <w:r>
      <w:rPr>
        <w:rFonts w:ascii="Aptos" w:hAnsi="Aptos"/>
        <w:color w:val="667085"/>
        <w:sz w:val="18"/>
      </w:rPr>
      <w:t xml:space="preserve">Page </w:t>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67085"/>
        <w:sz w:val="16"/>
      </w:rPr>
      <w:t xml:space="preserve">SG PAX CORP.  |  Confidential review information     </w:t>
    </w:r>
    <w:r>
      <w:rPr>
        <w:rFonts w:ascii="Aptos" w:hAnsi="Aptos"/>
        <w:color w:val="667085"/>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b/>
        <w:color w:val="00A98F"/>
        <w:sz w:val="16"/>
      </w:rPr>
      <w:t>SG PAX CORP.   |   NEUROTRADER APP REVIEW RESPONSE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b/>
        <w:color w:val="00A98F"/>
        <w:sz w:val="16"/>
      </w:rPr>
      <w:t>SG PAX CORP.   |   NEUROTRADER APP REVIEW RESPONSE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b/>
        <w:color w:val="00A98F"/>
        <w:sz w:val="16"/>
      </w:rPr>
      <w:t>SG PAX CORP.   |   NEUROTRADER APP REVIEW RESPONSE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Aptos Display" w:hAnsi="Aptos Display"/>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color w:val="000000"/>
      <w:sz w:val="20"/>
    </w:rPr>
  </w:style>
  <w:style w:type="paragraph" w:styleId="ListBullet2">
    <w:name w:val="List Bullet 2"/>
    <w:basedOn w:val="Normal"/>
    <w:uiPriority w:val="99"/>
    <w:unhideWhenUsed/>
    <w:rsid w:val="00326F90"/>
    <w:pPr>
      <w:numPr>
        <w:numId w:val="2"/>
      </w:numPr>
      <w:contextualSpacing/>
    </w:pPr>
    <w:rPr>
      <w:rFonts w:ascii="Aptos" w:hAnsi="Aptos"/>
      <w:color w:val="000000"/>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color w:val="000000"/>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NeuroTrader App Review Response</dc:title>
  <dc:subject>SG PAX CORP. response to Apple App Review information requests</dc:subject>
  <dc:creator>SG PAX CORP.</dc:creator>
  <cp:keywords>NeuroTrader, SG PAX CORP., Apple App Review, review information</cp:keywords>
  <dc:description>generated by python-docx</dc:description>
  <cp:lastModifiedBy>SG PAX CORP.</cp:lastModifiedBy>
  <cp:revision>1</cp:revision>
  <dcterms:created xsi:type="dcterms:W3CDTF">2013-12-23T23:15:00Z</dcterms:created>
  <dcterms:modified xsi:type="dcterms:W3CDTF">2013-12-23T23:15:00Z</dcterms:modified>
  <cp:category/>
</cp:coreProperties>
</file>