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spacing w:after="80" w:before="0"/>
        <w:jc w:val="left"/>
      </w:pPr>
      <w:r>
        <w:rPr>
          <w:rFonts w:ascii="Arial" w:cs="Arial" w:eastAsia="Arial" w:hAnsi="Arial"/>
          <w:b/>
          <w:bCs/>
          <w:color w:val="1A3A2A"/>
          <w:sz w:val="56"/>
          <w:szCs w:val="56"/>
        </w:rPr>
        <w:t xml:space="preserve">ManagerMatch</w:t>
      </w:r>
    </w:p>
    <w:p>
      <w:pPr>
        <w:spacing w:after="80" w:before="0"/>
      </w:pPr>
      <w:r>
        <w:rPr>
          <w:rFonts w:ascii="Arial" w:cs="Arial" w:eastAsia="Arial" w:hAnsi="Arial"/>
          <w:color w:val="2D5A3D"/>
          <w:sz w:val="28"/>
          <w:szCs w:val="28"/>
        </w:rPr>
        <w:t xml:space="preserve">WorkPulse Pro — Sprint 7 Product Brief</w:t>
      </w:r>
    </w:p>
    <w:p>
      <w:pPr>
        <w:spacing w:after="0" w:before="0"/>
      </w:pPr>
      <w:r>
        <w:rPr>
          <w:rFonts w:ascii="Arial" w:cs="Arial" w:eastAsia="Arial" w:hAnsi="Arial"/>
          <w:i/>
          <w:iCs/>
          <w:color w:val="888888"/>
          <w:sz w:val="20"/>
          <w:szCs w:val="20"/>
        </w:rPr>
        <w:t xml:space="preserve">Prepared for product review — June 2026</w:t>
      </w:r>
    </w:p>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Overview</w:t>
      </w:r>
    </w:p>
    <w:p>
      <w:pPr>
        <w:spacing w:after="80" w:before="80"/>
      </w:pPr>
      <w:r>
        <w:rPr>
          <w:rFonts w:ascii="Arial" w:cs="Arial" w:eastAsia="Arial" w:hAnsi="Arial"/>
          <w:sz w:val="22"/>
          <w:szCs w:val="22"/>
        </w:rPr>
        <w:t xml:space="preserve">ManagerMatch is the first feature of WorkPulse Pro — Solverah’s premium assessment tier. Where WorkPulse tells users who they are as a professional, ManagerMatch tells them what kind of leadership they need to thrive.</w:t>
      </w:r>
    </w:p>
    <w:p>
      <w:pPr>
        <w:spacing w:after="0" w:before="80"/>
      </w:pPr>
    </w:p>
    <w:p>
      <w:pPr>
        <w:spacing w:after="80" w:before="80"/>
      </w:pPr>
      <w:r>
        <w:rPr>
          <w:rFonts w:ascii="Arial" w:cs="Arial" w:eastAsia="Arial" w:hAnsi="Arial"/>
          <w:sz w:val="22"/>
          <w:szCs w:val="22"/>
        </w:rPr>
        <w:t xml:space="preserve">The output is a named manager archetype: a clear, honest portrait of the management style a user performs best under. This gives job seekers a new lens for evaluating opportunities beyond role and compensation — and gives Solverah a differentiating signal for its matching pipeline.</w:t>
      </w:r>
    </w:p>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The Problem We’re Solving</w:t>
      </w:r>
    </w:p>
    <w:p>
      <w:pPr>
        <w:spacing w:after="80" w:before="80"/>
      </w:pPr>
      <w:r>
        <w:rPr>
          <w:rFonts w:ascii="Arial" w:cs="Arial" w:eastAsia="Arial" w:hAnsi="Arial"/>
          <w:sz w:val="22"/>
          <w:szCs w:val="22"/>
        </w:rPr>
        <w:t xml:space="preserve">Most job seekers evaluate new opportunities based on the role, the company, and the pay. Almost nobody thinks systematically about whether the management style will suit them — until they’ve already accepted an offer and it’s too late.</w:t>
      </w:r>
    </w:p>
    <w:p>
      <w:pPr>
        <w:spacing w:after="0" w:before="80"/>
      </w:pPr>
    </w:p>
    <w:p>
      <w:pPr>
        <w:spacing w:after="80" w:before="80"/>
      </w:pPr>
      <w:r>
        <w:rPr>
          <w:rFonts w:ascii="Arial" w:cs="Arial" w:eastAsia="Arial" w:hAnsi="Arial"/>
          <w:sz w:val="22"/>
          <w:szCs w:val="22"/>
        </w:rPr>
        <w:t xml:space="preserve">The mismatch between how someone needs to be managed and how they’re actually managed is one of the top drivers of early attrition. ManagerMatch gives users the self-awareness and vocabulary to catch this before they commit.</w:t>
      </w:r>
    </w:p>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How It Works</w:t>
      </w:r>
    </w:p>
    <w:p>
      <w:pPr>
        <w:spacing w:after="80" w:before="80"/>
      </w:pPr>
      <w:r>
        <w:rPr>
          <w:rFonts w:ascii="Arial" w:cs="Arial" w:eastAsia="Arial" w:hAnsi="Arial"/>
          <w:sz w:val="22"/>
          <w:szCs w:val="22"/>
        </w:rPr>
        <w:t xml:space="preserve">The assessment uses a forced-choice format: the user is shown pairs of management behaviors and picks which they prefer. There are no right or wrong answers — each choice is a direct signal about their management preferences.</w:t>
      </w:r>
    </w:p>
    <w:p>
      <w:pPr>
        <w:spacing w:after="0" w:before="80"/>
      </w:pPr>
    </w:p>
    <w:p>
      <w:pPr>
        <w:spacing w:after="80" w:before="80"/>
      </w:pPr>
      <w:r>
        <w:rPr>
          <w:rFonts w:ascii="Arial" w:cs="Arial" w:eastAsia="Arial" w:hAnsi="Arial"/>
          <w:sz w:val="22"/>
          <w:szCs w:val="22"/>
        </w:rPr>
        <w:t xml:space="preserve">Example pair: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60"/>
        <w:gridCol w:w="4600"/>
      </w:tblGrid>
      <w:tr>
        <w:tc>
          <w:tcPr>
            <w:tcW w:type="dxa" w:w="4600"/>
            <w:tcBorders>
              <w:top w:val="single" w:color="DDDDDD" w:sz="1"/>
              <w:left w:val="single" w:color="DDDDDD" w:sz="1"/>
              <w:bottom w:val="single" w:color="DDDDDD" w:sz="1"/>
              <w:right w:val="single" w:color="DDDDDD" w:sz="1"/>
            </w:tcBorders>
            <w:shd w:fill="F5FAF6" w:val="clear"/>
            <w:tcMar>
              <w:top w:type="dxa" w:w="160"/>
              <w:left w:type="dxa" w:w="200"/>
              <w:bottom w:type="dxa" w:w="160"/>
              <w:right w:type="dxa" w:w="200"/>
            </w:tcMar>
          </w:tcPr>
          <w:p>
            <w:pPr>
              <w:jc w:val="center"/>
            </w:pPr>
            <w:r>
              <w:rPr>
                <w:rFonts w:ascii="Arial" w:cs="Arial" w:eastAsia="Arial" w:hAnsi="Arial"/>
                <w:i/>
                <w:iCs/>
                <w:sz w:val="20"/>
                <w:szCs w:val="20"/>
              </w:rPr>
              <w:t xml:space="preserve">“Your manager gives you detailed instructions and checks in regularly throughout the project.”</w:t>
            </w:r>
          </w:p>
        </w:tc>
        <w:tc>
          <w:tcPr>
            <w:tcW w:type="dxa" w:w="160"/>
            <w:tcBorders>
              <w:top w:val="none" w:color="FFFFFF" w:sz="0"/>
              <w:left w:val="none" w:color="FFFFFF" w:sz="0"/>
              <w:bottom w:val="none" w:color="FFFFFF" w:sz="0"/>
              <w:right w:val="none" w:color="FFFFFF" w:sz="0"/>
            </w:tcBorders>
            <w:tcMar>
              <w:top w:type="dxa" w:w="160"/>
              <w:left w:type="dxa" w:w="0"/>
              <w:bottom w:type="dxa" w:w="160"/>
              <w:right w:type="dxa" w:w="0"/>
            </w:tcMar>
          </w:tcPr>
          <w:p>
            <w:pPr>
              <w:jc w:val="center"/>
            </w:pPr>
            <w:r>
              <w:rPr>
                <w:rFonts w:ascii="Arial" w:cs="Arial" w:eastAsia="Arial" w:hAnsi="Arial"/>
                <w:b/>
                <w:bCs/>
                <w:color w:val="888888"/>
                <w:sz w:val="20"/>
                <w:szCs w:val="20"/>
              </w:rPr>
              <w:t xml:space="preserve">vs</w:t>
            </w:r>
          </w:p>
        </w:tc>
        <w:tc>
          <w:tcPr>
            <w:tcW w:type="dxa" w:w="4600"/>
            <w:tcBorders>
              <w:top w:val="single" w:color="DDDDDD" w:sz="1"/>
              <w:left w:val="single" w:color="DDDDDD" w:sz="1"/>
              <w:bottom w:val="single" w:color="DDDDDD" w:sz="1"/>
              <w:right w:val="single" w:color="DDDDDD" w:sz="1"/>
            </w:tcBorders>
            <w:shd w:fill="F5FAF6" w:val="clear"/>
            <w:tcMar>
              <w:top w:type="dxa" w:w="160"/>
              <w:left w:type="dxa" w:w="200"/>
              <w:bottom w:type="dxa" w:w="160"/>
              <w:right w:type="dxa" w:w="200"/>
            </w:tcMar>
          </w:tcPr>
          <w:p>
            <w:pPr>
              <w:jc w:val="center"/>
            </w:pPr>
            <w:r>
              <w:rPr>
                <w:rFonts w:ascii="Arial" w:cs="Arial" w:eastAsia="Arial" w:hAnsi="Arial"/>
                <w:i/>
                <w:iCs/>
                <w:sz w:val="20"/>
                <w:szCs w:val="20"/>
              </w:rPr>
              <w:t xml:space="preserve">“Your manager sets the goal, gives you full ownership, and only checks in when you ask.”</w:t>
            </w:r>
          </w:p>
        </w:tc>
      </w:tr>
    </w:tbl>
    <w:p>
      <w:pPr>
        <w:spacing w:after="0" w:before="120"/>
      </w:pPr>
    </w:p>
    <w:p>
      <w:pPr>
        <w:spacing w:after="80" w:before="80"/>
      </w:pPr>
      <w:r>
        <w:rPr>
          <w:rFonts w:ascii="Arial" w:cs="Arial" w:eastAsia="Arial" w:hAnsi="Arial"/>
          <w:sz w:val="22"/>
          <w:szCs w:val="22"/>
        </w:rPr>
        <w:t xml:space="preserve">The assessment runs 12–15 pairs across 4 core dimensions (described below). It takes roughly 3–4 minutes. Because each choice is final with no back button, the format also mirrors how Solverah’s other tools feel — intentional, not trivial.</w:t>
      </w:r>
    </w:p>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The Four Dimensions</w:t>
      </w:r>
    </w:p>
    <w:p>
      <w:pPr>
        <w:spacing w:after="80" w:before="80"/>
      </w:pPr>
      <w:r>
        <w:rPr>
          <w:rFonts w:ascii="Arial" w:cs="Arial" w:eastAsia="Arial" w:hAnsi="Arial"/>
          <w:sz w:val="22"/>
          <w:szCs w:val="22"/>
        </w:rPr>
        <w:t xml:space="preserve">Each pair in the assessment maps to one of four dimensions that together define a management preference profile.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DDDDD" w:sz="1"/>
              <w:left w:val="single" w:color="DDDDDD" w:sz="1"/>
              <w:bottom w:val="single" w:color="DDDDDD" w:sz="1"/>
              <w:right w:val="single" w:color="DDDDDD" w:sz="1"/>
            </w:tcBorders>
            <w:shd w:fill="1A3A2A" w:val="clear"/>
            <w:tcMar>
              <w:top w:type="dxa" w:w="100"/>
              <w:left w:type="dxa" w:w="160"/>
              <w:bottom w:type="dxa" w:w="100"/>
              <w:right w:type="dxa" w:w="160"/>
            </w:tcMar>
          </w:tcPr>
          <w:p>
            <w:r>
              <w:rPr>
                <w:rFonts w:ascii="Arial" w:cs="Arial" w:eastAsia="Arial" w:hAnsi="Arial"/>
                <w:b/>
                <w:bCs/>
                <w:color w:val="FFFFFF"/>
                <w:sz w:val="20"/>
                <w:szCs w:val="20"/>
              </w:rPr>
              <w:t xml:space="preserve">Dimension</w:t>
            </w:r>
          </w:p>
        </w:tc>
        <w:tc>
          <w:tcPr>
            <w:tcW w:type="dxa" w:w="3600"/>
            <w:tcBorders>
              <w:top w:val="single" w:color="DDDDDD" w:sz="1"/>
              <w:left w:val="single" w:color="DDDDDD" w:sz="1"/>
              <w:bottom w:val="single" w:color="DDDDDD" w:sz="1"/>
              <w:right w:val="single" w:color="DDDDDD" w:sz="1"/>
            </w:tcBorders>
            <w:shd w:fill="1A3A2A" w:val="clear"/>
            <w:tcMar>
              <w:top w:type="dxa" w:w="100"/>
              <w:left w:type="dxa" w:w="160"/>
              <w:bottom w:type="dxa" w:w="100"/>
              <w:right w:type="dxa" w:w="160"/>
            </w:tcMar>
          </w:tcPr>
          <w:p>
            <w:r>
              <w:rPr>
                <w:rFonts w:ascii="Arial" w:cs="Arial" w:eastAsia="Arial" w:hAnsi="Arial"/>
                <w:b/>
                <w:bCs/>
                <w:color w:val="FFFFFF"/>
                <w:sz w:val="20"/>
                <w:szCs w:val="20"/>
              </w:rPr>
              <w:t xml:space="preserve">What it measures</w:t>
            </w:r>
          </w:p>
        </w:tc>
        <w:tc>
          <w:tcPr>
            <w:tcW w:type="dxa" w:w="3960"/>
            <w:tcBorders>
              <w:top w:val="single" w:color="DDDDDD" w:sz="1"/>
              <w:left w:val="single" w:color="DDDDDD" w:sz="1"/>
              <w:bottom w:val="single" w:color="DDDDDD" w:sz="1"/>
              <w:right w:val="single" w:color="DDDDDD" w:sz="1"/>
            </w:tcBorders>
            <w:shd w:fill="1A3A2A" w:val="clear"/>
            <w:tcMar>
              <w:top w:type="dxa" w:w="100"/>
              <w:left w:type="dxa" w:w="160"/>
              <w:bottom w:type="dxa" w:w="100"/>
              <w:right w:type="dxa" w:w="160"/>
            </w:tcMar>
          </w:tcPr>
          <w:p>
            <w:r>
              <w:rPr>
                <w:rFonts w:ascii="Arial" w:cs="Arial" w:eastAsia="Arial" w:hAnsi="Arial"/>
                <w:b/>
                <w:bCs/>
                <w:color w:val="FFFFFF"/>
                <w:sz w:val="20"/>
                <w:szCs w:val="20"/>
              </w:rPr>
              <w:t xml:space="preserve">Low → High</w:t>
            </w:r>
          </w:p>
        </w:tc>
      </w:tr>
      <w:tr>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sz w:val="20"/>
                <w:szCs w:val="20"/>
              </w:rPr>
              <w:t xml:space="preserve">Autonomy</w:t>
            </w:r>
          </w:p>
        </w:tc>
        <w:tc>
          <w:tcPr>
            <w:tcW w:type="dxa" w:w="36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20"/>
                <w:szCs w:val="20"/>
              </w:rPr>
              <w:t xml:space="preserve">How much independence the user wants over their work</w:t>
            </w:r>
          </w:p>
        </w:tc>
        <w:tc>
          <w:tcPr>
            <w:tcW w:type="dxa" w:w="3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555555"/>
                <w:sz w:val="20"/>
                <w:szCs w:val="20"/>
              </w:rPr>
              <w:t xml:space="preserve">Prefers clear direction → Prefers full ownership</w:t>
            </w:r>
          </w:p>
        </w:tc>
      </w:tr>
      <w:tr>
        <w:tc>
          <w:tcPr>
            <w:tcW w:type="dxa" w:w="1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sz w:val="20"/>
                <w:szCs w:val="20"/>
              </w:rPr>
              <w:t xml:space="preserve">Feedback Style</w:t>
            </w:r>
          </w:p>
        </w:tc>
        <w:tc>
          <w:tcPr>
            <w:tcW w:type="dxa" w:w="3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How and how often the user needs feedback to feel effective</w:t>
            </w:r>
          </w:p>
        </w:tc>
        <w:tc>
          <w:tcPr>
            <w:tcW w:type="dxa" w:w="3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i/>
                <w:iCs/>
                <w:color w:val="555555"/>
                <w:sz w:val="20"/>
                <w:szCs w:val="20"/>
              </w:rPr>
              <w:t xml:space="preserve">Frequent, direct feedback → Infrequent, high-level feedback</w:t>
            </w:r>
          </w:p>
        </w:tc>
      </w:tr>
      <w:tr>
        <w:tc>
          <w:tcPr>
            <w:tcW w:type="dxa" w:w="18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b/>
                <w:bCs/>
                <w:sz w:val="20"/>
                <w:szCs w:val="20"/>
              </w:rPr>
              <w:t xml:space="preserve">Relationship</w:t>
            </w:r>
          </w:p>
        </w:tc>
        <w:tc>
          <w:tcPr>
            <w:tcW w:type="dxa" w:w="36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sz w:val="20"/>
                <w:szCs w:val="20"/>
              </w:rPr>
              <w:t xml:space="preserve">How close or professional the user prefers the manager relationship to be</w:t>
            </w:r>
          </w:p>
        </w:tc>
        <w:tc>
          <w:tcPr>
            <w:tcW w:type="dxa" w:w="39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i/>
                <w:iCs/>
                <w:color w:val="555555"/>
                <w:sz w:val="20"/>
                <w:szCs w:val="20"/>
              </w:rPr>
              <w:t xml:space="preserve">Strictly professional → Personally invested</w:t>
            </w:r>
          </w:p>
        </w:tc>
      </w:tr>
      <w:tr>
        <w:tc>
          <w:tcPr>
            <w:tcW w:type="dxa" w:w="1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sz w:val="20"/>
                <w:szCs w:val="20"/>
              </w:rPr>
              <w:t xml:space="preserve">Growth Focus</w:t>
            </w:r>
          </w:p>
        </w:tc>
        <w:tc>
          <w:tcPr>
            <w:tcW w:type="dxa" w:w="3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sz w:val="20"/>
                <w:szCs w:val="20"/>
              </w:rPr>
              <w:t xml:space="preserve">Whether the user wants a manager who actively develops them or lets them self-direct</w:t>
            </w:r>
          </w:p>
        </w:tc>
        <w:tc>
          <w:tcPr>
            <w:tcW w:type="dxa" w:w="3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i/>
                <w:iCs/>
                <w:color w:val="555555"/>
                <w:sz w:val="20"/>
                <w:szCs w:val="20"/>
              </w:rPr>
              <w:t xml:space="preserve">Self-directed growth → Coached and mentored</w:t>
            </w:r>
          </w:p>
        </w:tc>
      </w:tr>
    </w:tbl>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The Archetypes</w:t>
      </w:r>
    </w:p>
    <w:p>
      <w:pPr>
        <w:spacing w:after="80" w:before="80"/>
      </w:pPr>
      <w:r>
        <w:rPr>
          <w:rFonts w:ascii="Arial" w:cs="Arial" w:eastAsia="Arial" w:hAnsi="Arial"/>
          <w:sz w:val="22"/>
          <w:szCs w:val="22"/>
        </w:rPr>
        <w:t xml:space="preserve">Each user’s dimension profile maps to one of five manager archetypes. The archetype is the primary output of ManagerMatch — a named, memorable label that gives users something concrete to carry into job conversations and interviews.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tcBorders>
              <w:top w:val="single" w:color="DDDDDD" w:sz="1"/>
              <w:left w:val="single" w:color="DDDDDD" w:sz="1"/>
              <w:bottom w:val="single" w:color="DDDDDD" w:sz="1"/>
              <w:right w:val="single" w:color="DDDDDD" w:sz="1"/>
            </w:tcBorders>
            <w:shd w:fill="1A3A2A" w:val="clear"/>
            <w:tcMar>
              <w:top w:type="dxa" w:w="100"/>
              <w:left w:type="dxa" w:w="160"/>
              <w:bottom w:type="dxa" w:w="100"/>
              <w:right w:type="dxa" w:w="160"/>
            </w:tcMar>
          </w:tcPr>
          <w:p>
            <w:r>
              <w:rPr>
                <w:rFonts w:ascii="Arial" w:cs="Arial" w:eastAsia="Arial" w:hAnsi="Arial"/>
                <w:b/>
                <w:bCs/>
                <w:color w:val="FFFFFF"/>
                <w:sz w:val="20"/>
                <w:szCs w:val="20"/>
              </w:rPr>
              <w:t xml:space="preserve">Archetype</w:t>
            </w:r>
          </w:p>
        </w:tc>
        <w:tc>
          <w:tcPr>
            <w:tcW w:type="dxa" w:w="4680"/>
            <w:tcBorders>
              <w:top w:val="single" w:color="DDDDDD" w:sz="1"/>
              <w:left w:val="single" w:color="DDDDDD" w:sz="1"/>
              <w:bottom w:val="single" w:color="DDDDDD" w:sz="1"/>
              <w:right w:val="single" w:color="DDDDDD" w:sz="1"/>
            </w:tcBorders>
            <w:shd w:fill="1A3A2A" w:val="clear"/>
            <w:tcMar>
              <w:top w:type="dxa" w:w="100"/>
              <w:left w:type="dxa" w:w="160"/>
              <w:bottom w:type="dxa" w:w="100"/>
              <w:right w:type="dxa" w:w="160"/>
            </w:tcMar>
          </w:tcPr>
          <w:p>
            <w:r>
              <w:rPr>
                <w:rFonts w:ascii="Arial" w:cs="Arial" w:eastAsia="Arial" w:hAnsi="Arial"/>
                <w:b/>
                <w:bCs/>
                <w:color w:val="FFFFFF"/>
                <w:sz w:val="20"/>
                <w:szCs w:val="20"/>
              </w:rPr>
              <w:t xml:space="preserve">Who thrives here</w:t>
            </w:r>
          </w:p>
        </w:tc>
        <w:tc>
          <w:tcPr>
            <w:tcW w:type="dxa" w:w="2680"/>
            <w:tcBorders>
              <w:top w:val="single" w:color="DDDDDD" w:sz="1"/>
              <w:left w:val="single" w:color="DDDDDD" w:sz="1"/>
              <w:bottom w:val="single" w:color="DDDDDD" w:sz="1"/>
              <w:right w:val="single" w:color="DDDDDD" w:sz="1"/>
            </w:tcBorders>
            <w:shd w:fill="1A3A2A" w:val="clear"/>
            <w:tcMar>
              <w:top w:type="dxa" w:w="100"/>
              <w:left w:type="dxa" w:w="160"/>
              <w:bottom w:type="dxa" w:w="100"/>
              <w:right w:type="dxa" w:w="160"/>
            </w:tcMar>
          </w:tcPr>
          <w:p>
            <w:r>
              <w:rPr>
                <w:rFonts w:ascii="Arial" w:cs="Arial" w:eastAsia="Arial" w:hAnsi="Arial"/>
                <w:b/>
                <w:bCs/>
                <w:color w:val="FFFFFF"/>
                <w:sz w:val="20"/>
                <w:szCs w:val="20"/>
              </w:rPr>
              <w:t xml:space="preserve">Key signals</w:t>
            </w:r>
          </w:p>
        </w:tc>
      </w:tr>
      <w:tr>
        <w:tc>
          <w:tcPr>
            <w:tcW w:type="dxa" w:w="2000"/>
            <w:tcBorders>
              <w:top w:val="single" w:color="DDDDDD" w:sz="1"/>
              <w:left w:val="single" w:color="DDDDDD" w:sz="1"/>
              <w:bottom w:val="single" w:color="DDDDDD" w:sz="1"/>
              <w:right w:val="single" w:color="DDDDDD" w:sz="1"/>
            </w:tcBorders>
            <w:shd w:fill="EAF4EE" w:val="clear"/>
            <w:tcMar>
              <w:top w:type="dxa" w:w="120"/>
              <w:left w:type="dxa" w:w="160"/>
              <w:bottom w:type="dxa" w:w="120"/>
              <w:right w:type="dxa" w:w="160"/>
            </w:tcMar>
          </w:tcPr>
          <w:p>
            <w:pPr>
              <w:spacing w:after="40" w:before="60"/>
            </w:pPr>
            <w:r>
              <w:rPr>
                <w:rFonts w:ascii="Arial" w:cs="Arial" w:eastAsia="Arial" w:hAnsi="Arial"/>
                <w:b/>
                <w:bCs/>
                <w:color w:val="1A3A2A"/>
                <w:sz w:val="20"/>
                <w:szCs w:val="20"/>
              </w:rPr>
              <w:t xml:space="preserve">The Operator</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60" w:before="60"/>
            </w:pPr>
            <w:r>
              <w:rPr>
                <w:rFonts w:ascii="Arial" w:cs="Arial" w:eastAsia="Arial" w:hAnsi="Arial"/>
                <w:sz w:val="20"/>
                <w:szCs w:val="20"/>
              </w:rPr>
              <w:t xml:space="preserve">High structure, frequent feedback, professional relationship</w:t>
            </w:r>
          </w:p>
        </w:tc>
        <w:tc>
          <w:tcPr>
            <w:tcW w:type="dxa" w:w="2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60" w:before="60"/>
            </w:pPr>
            <w:r>
              <w:rPr>
                <w:rFonts w:ascii="Arial" w:cs="Arial" w:eastAsia="Arial" w:hAnsi="Arial"/>
                <w:i/>
                <w:iCs/>
                <w:color w:val="555555"/>
                <w:sz w:val="20"/>
                <w:szCs w:val="20"/>
              </w:rPr>
            </w:r>
          </w:p>
        </w:tc>
      </w:tr>
      <w:tr>
        <w:tc>
          <w:tcPr>
            <w:tcW w:type="dxa" w:w="2000"/>
            <w:tcBorders>
              <w:top w:val="single" w:color="DDDDDD" w:sz="1"/>
              <w:left w:val="single" w:color="DDDDDD" w:sz="1"/>
              <w:bottom w:val="single" w:color="DDDDDD" w:sz="1"/>
              <w:right w:val="single" w:color="DDDDDD" w:sz="1"/>
            </w:tcBorders>
            <w:shd w:fill="EAF4EE" w:val="clear"/>
            <w:tcMar>
              <w:top w:type="dxa" w:w="120"/>
              <w:left w:type="dxa" w:w="160"/>
              <w:bottom w:type="dxa" w:w="120"/>
              <w:right w:type="dxa" w:w="160"/>
            </w:tcMar>
          </w:tcPr>
          <w:p>
            <w:pPr>
              <w:spacing w:after="40" w:before="60"/>
            </w:pPr>
            <w:r>
              <w:rPr>
                <w:rFonts w:ascii="Arial" w:cs="Arial" w:eastAsia="Arial" w:hAnsi="Arial"/>
                <w:b/>
                <w:bCs/>
                <w:color w:val="1A3A2A"/>
                <w:sz w:val="20"/>
                <w:szCs w:val="20"/>
              </w:rPr>
              <w:t xml:space="preserve">The Autonomist</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60" w:before="60"/>
            </w:pPr>
            <w:r>
              <w:rPr>
                <w:rFonts w:ascii="Arial" w:cs="Arial" w:eastAsia="Arial" w:hAnsi="Arial"/>
                <w:sz w:val="20"/>
                <w:szCs w:val="20"/>
              </w:rPr>
              <w:t xml:space="preserve">High autonomy, minimal check-ins, low direction</w:t>
            </w:r>
          </w:p>
        </w:tc>
        <w:tc>
          <w:tcPr>
            <w:tcW w:type="dxa" w:w="2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60" w:before="60"/>
            </w:pPr>
            <w:r>
              <w:rPr>
                <w:rFonts w:ascii="Arial" w:cs="Arial" w:eastAsia="Arial" w:hAnsi="Arial"/>
                <w:i/>
                <w:iCs/>
                <w:color w:val="555555"/>
                <w:sz w:val="20"/>
                <w:szCs w:val="20"/>
              </w:rPr>
            </w:r>
          </w:p>
        </w:tc>
      </w:tr>
      <w:tr>
        <w:tc>
          <w:tcPr>
            <w:tcW w:type="dxa" w:w="2000"/>
            <w:tcBorders>
              <w:top w:val="single" w:color="DDDDDD" w:sz="1"/>
              <w:left w:val="single" w:color="DDDDDD" w:sz="1"/>
              <w:bottom w:val="single" w:color="DDDDDD" w:sz="1"/>
              <w:right w:val="single" w:color="DDDDDD" w:sz="1"/>
            </w:tcBorders>
            <w:shd w:fill="EAF4EE" w:val="clear"/>
            <w:tcMar>
              <w:top w:type="dxa" w:w="120"/>
              <w:left w:type="dxa" w:w="160"/>
              <w:bottom w:type="dxa" w:w="120"/>
              <w:right w:type="dxa" w:w="160"/>
            </w:tcMar>
          </w:tcPr>
          <w:p>
            <w:pPr>
              <w:spacing w:after="40" w:before="60"/>
            </w:pPr>
            <w:r>
              <w:rPr>
                <w:rFonts w:ascii="Arial" w:cs="Arial" w:eastAsia="Arial" w:hAnsi="Arial"/>
                <w:b/>
                <w:bCs/>
                <w:color w:val="1A3A2A"/>
                <w:sz w:val="20"/>
                <w:szCs w:val="20"/>
              </w:rPr>
              <w:t xml:space="preserve">The Collaborator</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60" w:before="60"/>
            </w:pPr>
            <w:r>
              <w:rPr>
                <w:rFonts w:ascii="Arial" w:cs="Arial" w:eastAsia="Arial" w:hAnsi="Arial"/>
                <w:sz w:val="20"/>
                <w:szCs w:val="20"/>
              </w:rPr>
              <w:t xml:space="preserve">High relationship, shared ownership, peer dynamic</w:t>
            </w:r>
          </w:p>
        </w:tc>
        <w:tc>
          <w:tcPr>
            <w:tcW w:type="dxa" w:w="2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60" w:before="60"/>
            </w:pPr>
            <w:r>
              <w:rPr>
                <w:rFonts w:ascii="Arial" w:cs="Arial" w:eastAsia="Arial" w:hAnsi="Arial"/>
                <w:i/>
                <w:iCs/>
                <w:color w:val="555555"/>
                <w:sz w:val="20"/>
                <w:szCs w:val="20"/>
              </w:rPr>
            </w:r>
          </w:p>
        </w:tc>
      </w:tr>
      <w:tr>
        <w:tc>
          <w:tcPr>
            <w:tcW w:type="dxa" w:w="2000"/>
            <w:tcBorders>
              <w:top w:val="single" w:color="DDDDDD" w:sz="1"/>
              <w:left w:val="single" w:color="DDDDDD" w:sz="1"/>
              <w:bottom w:val="single" w:color="DDDDDD" w:sz="1"/>
              <w:right w:val="single" w:color="DDDDDD" w:sz="1"/>
            </w:tcBorders>
            <w:shd w:fill="EAF4EE" w:val="clear"/>
            <w:tcMar>
              <w:top w:type="dxa" w:w="120"/>
              <w:left w:type="dxa" w:w="160"/>
              <w:bottom w:type="dxa" w:w="120"/>
              <w:right w:type="dxa" w:w="160"/>
            </w:tcMar>
          </w:tcPr>
          <w:p>
            <w:pPr>
              <w:spacing w:after="40" w:before="60"/>
            </w:pPr>
            <w:r>
              <w:rPr>
                <w:rFonts w:ascii="Arial" w:cs="Arial" w:eastAsia="Arial" w:hAnsi="Arial"/>
                <w:b/>
                <w:bCs/>
                <w:color w:val="1A3A2A"/>
                <w:sz w:val="20"/>
                <w:szCs w:val="20"/>
              </w:rPr>
              <w:t xml:space="preserve">The Challenger</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60" w:before="60"/>
            </w:pPr>
            <w:r>
              <w:rPr>
                <w:rFonts w:ascii="Arial" w:cs="Arial" w:eastAsia="Arial" w:hAnsi="Arial"/>
                <w:sz w:val="20"/>
                <w:szCs w:val="20"/>
              </w:rPr>
              <w:t xml:space="preserve">High directness, growth-oriented, stretch goals</w:t>
            </w:r>
          </w:p>
        </w:tc>
        <w:tc>
          <w:tcPr>
            <w:tcW w:type="dxa" w:w="2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60" w:before="60"/>
            </w:pPr>
            <w:r>
              <w:rPr>
                <w:rFonts w:ascii="Arial" w:cs="Arial" w:eastAsia="Arial" w:hAnsi="Arial"/>
                <w:i/>
                <w:iCs/>
                <w:color w:val="555555"/>
                <w:sz w:val="20"/>
                <w:szCs w:val="20"/>
              </w:rPr>
            </w:r>
          </w:p>
        </w:tc>
      </w:tr>
      <w:tr>
        <w:tc>
          <w:tcPr>
            <w:tcW w:type="dxa" w:w="2000"/>
            <w:tcBorders>
              <w:top w:val="single" w:color="DDDDDD" w:sz="1"/>
              <w:left w:val="single" w:color="DDDDDD" w:sz="1"/>
              <w:bottom w:val="single" w:color="DDDDDD" w:sz="1"/>
              <w:right w:val="single" w:color="DDDDDD" w:sz="1"/>
            </w:tcBorders>
            <w:shd w:fill="EAF4EE" w:val="clear"/>
            <w:tcMar>
              <w:top w:type="dxa" w:w="120"/>
              <w:left w:type="dxa" w:w="160"/>
              <w:bottom w:type="dxa" w:w="120"/>
              <w:right w:type="dxa" w:w="160"/>
            </w:tcMar>
          </w:tcPr>
          <w:p>
            <w:pPr>
              <w:spacing w:after="40" w:before="60"/>
            </w:pPr>
            <w:r>
              <w:rPr>
                <w:rFonts w:ascii="Arial" w:cs="Arial" w:eastAsia="Arial" w:hAnsi="Arial"/>
                <w:b/>
                <w:bCs/>
                <w:color w:val="1A3A2A"/>
                <w:sz w:val="20"/>
                <w:szCs w:val="20"/>
              </w:rPr>
              <w:t xml:space="preserve">The Nurtured</w:t>
            </w:r>
          </w:p>
        </w:tc>
        <w:tc>
          <w:tcPr>
            <w:tcW w:type="dxa" w:w="4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60" w:before="60"/>
            </w:pPr>
            <w:r>
              <w:rPr>
                <w:rFonts w:ascii="Arial" w:cs="Arial" w:eastAsia="Arial" w:hAnsi="Arial"/>
                <w:sz w:val="20"/>
                <w:szCs w:val="20"/>
              </w:rPr>
              <w:t xml:space="preserve">High mentorship, strong relationship, active coaching</w:t>
            </w:r>
          </w:p>
        </w:tc>
        <w:tc>
          <w:tcPr>
            <w:tcW w:type="dxa" w:w="2680"/>
            <w:tcBorders>
              <w:top w:val="single" w:color="DDDDDD" w:sz="1"/>
              <w:left w:val="single" w:color="DDDDDD" w:sz="1"/>
              <w:bottom w:val="single" w:color="DDDDDD" w:sz="1"/>
              <w:right w:val="single" w:color="DDDDDD" w:sz="1"/>
            </w:tcBorders>
            <w:tcMar>
              <w:top w:type="dxa" w:w="120"/>
              <w:left w:type="dxa" w:w="160"/>
              <w:bottom w:type="dxa" w:w="120"/>
              <w:right w:type="dxa" w:w="160"/>
            </w:tcMar>
          </w:tcPr>
          <w:p>
            <w:pPr>
              <w:spacing w:after="60" w:before="60"/>
            </w:pPr>
            <w:r>
              <w:rPr>
                <w:rFonts w:ascii="Arial" w:cs="Arial" w:eastAsia="Arial" w:hAnsi="Arial"/>
                <w:i/>
                <w:iCs/>
                <w:color w:val="555555"/>
                <w:sz w:val="20"/>
                <w:szCs w:val="20"/>
              </w:rPr>
            </w:r>
          </w:p>
        </w:tc>
      </w:tr>
    </w:tbl>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The Output Experience</w:t>
      </w:r>
    </w:p>
    <w:p>
      <w:pPr>
        <w:spacing w:after="80" w:before="80"/>
      </w:pPr>
      <w:r>
        <w:rPr>
          <w:rFonts w:ascii="Arial" w:cs="Arial" w:eastAsia="Arial" w:hAnsi="Arial"/>
          <w:sz w:val="22"/>
          <w:szCs w:val="22"/>
        </w:rPr>
        <w:t xml:space="preserve">After completing the assessment, the user lands on a results page showing:</w:t>
      </w:r>
    </w:p>
    <w:p>
      <w:pPr>
        <w:spacing w:after="0" w:before="80"/>
      </w:pPr>
    </w:p>
    <w:p>
      <w:pPr>
        <w:pStyle w:val="ListParagraph"/>
        <w:numPr>
          <w:ilvl w:val="0"/>
          <w:numId w:val="2"/>
        </w:numPr>
        <w:spacing w:after="60" w:before="60"/>
      </w:pPr>
      <w:r>
        <w:rPr>
          <w:rFonts w:ascii="Arial" w:cs="Arial" w:eastAsia="Arial" w:hAnsi="Arial"/>
          <w:sz w:val="22"/>
          <w:szCs w:val="22"/>
        </w:rPr>
        <w:t xml:space="preserve">Their archetype name and a one-paragraph description of what that means for them personally</w:t>
      </w:r>
    </w:p>
    <w:p>
      <w:pPr>
        <w:pStyle w:val="ListParagraph"/>
        <w:numPr>
          <w:ilvl w:val="0"/>
          <w:numId w:val="2"/>
        </w:numPr>
        <w:spacing w:after="60" w:before="60"/>
      </w:pPr>
      <w:r>
        <w:rPr>
          <w:rFonts w:ascii="Arial" w:cs="Arial" w:eastAsia="Arial" w:hAnsi="Arial"/>
          <w:sz w:val="22"/>
          <w:szCs w:val="22"/>
        </w:rPr>
        <w:t xml:space="preserve">A dimension breakdown showing where they landed on each of the four axes</w:t>
      </w:r>
    </w:p>
    <w:p>
      <w:pPr>
        <w:pStyle w:val="ListParagraph"/>
        <w:numPr>
          <w:ilvl w:val="0"/>
          <w:numId w:val="2"/>
        </w:numPr>
        <w:spacing w:after="60" w:before="60"/>
      </w:pPr>
      <w:r>
        <w:rPr>
          <w:rFonts w:ascii="Arial" w:cs="Arial" w:eastAsia="Arial" w:hAnsi="Arial"/>
          <w:sz w:val="22"/>
          <w:szCs w:val="22"/>
        </w:rPr>
        <w:t xml:space="preserve">A short “What to look for” section with concrete questions they can ask in interviews to probe for this management style</w:t>
      </w:r>
    </w:p>
    <w:p>
      <w:pPr>
        <w:pStyle w:val="ListParagraph"/>
        <w:numPr>
          <w:ilvl w:val="0"/>
          <w:numId w:val="2"/>
        </w:numPr>
        <w:spacing w:after="60" w:before="60"/>
      </w:pPr>
      <w:r>
        <w:rPr>
          <w:rFonts w:ascii="Arial" w:cs="Arial" w:eastAsia="Arial" w:hAnsi="Arial"/>
          <w:sz w:val="22"/>
          <w:szCs w:val="22"/>
        </w:rPr>
        <w:t xml:space="preserve">A “Red flags” section highlighting the management behaviors most likely to frustrate or slow them down</w:t>
      </w:r>
    </w:p>
    <w:p>
      <w:pPr>
        <w:spacing w:after="0" w:before="80"/>
      </w:pPr>
    </w:p>
    <w:p>
      <w:pPr>
        <w:spacing w:after="80" w:before="80"/>
      </w:pPr>
      <w:r>
        <w:rPr>
          <w:rFonts w:ascii="Arial" w:cs="Arial" w:eastAsia="Arial" w:hAnsi="Arial"/>
          <w:sz w:val="22"/>
          <w:szCs w:val="22"/>
        </w:rPr>
        <w:t xml:space="preserve">The result is saved to the user’s Intelligence Hub so they can return to it. It also becomes an input to Solverah’s matching pipeline, filtering out companies whose known management culture conflicts with the user’s archetype.</w:t>
      </w:r>
    </w:p>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Open Questions for Product Review</w:t>
      </w:r>
    </w:p>
    <w:p>
      <w:pPr>
        <w:spacing w:after="80" w:before="80"/>
      </w:pPr>
      <w:r>
        <w:rPr>
          <w:rFonts w:ascii="Arial" w:cs="Arial" w:eastAsia="Arial" w:hAnsi="Arial"/>
          <w:sz w:val="22"/>
          <w:szCs w:val="22"/>
        </w:rPr>
        <w:t xml:space="preserve">The following are the key decisions we’d like the product owner’s input on before Sprint 7 kicks off:</w:t>
      </w:r>
    </w:p>
    <w:p>
      <w:pPr>
        <w:spacing w:after="0" w:before="80"/>
      </w:pPr>
    </w:p>
    <w:p>
      <w:pPr>
        <w:pStyle w:val="ListParagraph"/>
        <w:numPr>
          <w:ilvl w:val="0"/>
          <w:numId w:val="2"/>
        </w:numPr>
        <w:spacing w:after="60" w:before="60"/>
      </w:pPr>
      <w:r>
        <w:rPr>
          <w:rFonts w:ascii="Arial" w:cs="Arial" w:eastAsia="Arial" w:hAnsi="Arial"/>
          <w:sz w:val="22"/>
          <w:szCs w:val="22"/>
        </w:rPr>
        <w:t xml:space="preserve">Should the output be purely rules-based (deterministic from dimension scores), or should we invest in an LLM-generated narrative similar to WorkPulse? The rules-based version is faster to ship; LLM gives richer, more personalized copy.</w:t>
      </w:r>
    </w:p>
    <w:p>
      <w:pPr>
        <w:pStyle w:val="ListParagraph"/>
        <w:numPr>
          <w:ilvl w:val="0"/>
          <w:numId w:val="2"/>
        </w:numPr>
        <w:spacing w:after="60" w:before="60"/>
      </w:pPr>
      <w:r>
        <w:rPr>
          <w:rFonts w:ascii="Arial" w:cs="Arial" w:eastAsia="Arial" w:hAnsi="Arial"/>
          <w:sz w:val="22"/>
          <w:szCs w:val="22"/>
        </w:rPr>
        <w:t xml:space="preserve">Do the five archetypes above feel right in terms of breadth and naming? Are there management styles that are missing or that don’t resonate with the target user?</w:t>
      </w:r>
    </w:p>
    <w:p>
      <w:pPr>
        <w:pStyle w:val="ListParagraph"/>
        <w:numPr>
          <w:ilvl w:val="0"/>
          <w:numId w:val="2"/>
        </w:numPr>
        <w:spacing w:after="60" w:before="60"/>
      </w:pPr>
      <w:r>
        <w:rPr>
          <w:rFonts w:ascii="Arial" w:cs="Arial" w:eastAsia="Arial" w:hAnsi="Arial"/>
          <w:sz w:val="22"/>
          <w:szCs w:val="22"/>
        </w:rPr>
        <w:t xml:space="preserve">Should ManagerMatch be gated behind a paid tier from day one, or launched freely to generate data and engagement before monetizing?</w:t>
      </w:r>
    </w:p>
    <w:p>
      <w:pPr>
        <w:pStyle w:val="ListParagraph"/>
        <w:numPr>
          <w:ilvl w:val="0"/>
          <w:numId w:val="2"/>
        </w:numPr>
        <w:spacing w:after="60" w:before="60"/>
      </w:pPr>
      <w:r>
        <w:rPr>
          <w:rFonts w:ascii="Arial" w:cs="Arial" w:eastAsia="Arial" w:hAnsi="Arial"/>
          <w:sz w:val="22"/>
          <w:szCs w:val="22"/>
        </w:rPr>
        <w:t xml:space="preserve">Is 12–15 question pairs the right length, or do we want to pilot a shorter 8-pair version first?</w:t>
      </w:r>
    </w:p>
    <w:p>
      <w:pPr>
        <w:pStyle w:val="ListParagraph"/>
        <w:numPr>
          <w:ilvl w:val="0"/>
          <w:numId w:val="2"/>
        </w:numPr>
        <w:spacing w:after="60" w:before="60"/>
      </w:pPr>
      <w:r>
        <w:rPr>
          <w:rFonts w:ascii="Arial" w:cs="Arial" w:eastAsia="Arial" w:hAnsi="Arial"/>
          <w:sz w:val="22"/>
          <w:szCs w:val="22"/>
        </w:rPr>
        <w:t xml:space="preserve">Should the dimension breakdown be visible to the user, or should we only surface the archetype label and keep the scoring internals hidden?</w:t>
      </w:r>
    </w:p>
    <w:p>
      <w:pPr>
        <w:pBdr>
          <w:bottom w:val="single" w:color="CCCCCC" w:sz="4" w:space="1"/>
        </w:pBdr>
        <w:spacing w:after="160" w:before="160"/>
      </w:pPr>
    </w:p>
    <w:p>
      <w:pPr>
        <w:pStyle w:val="Heading1"/>
        <w:spacing w:after="120" w:before="360"/>
      </w:pPr>
      <w:r>
        <w:rPr>
          <w:rFonts w:ascii="Arial" w:cs="Arial" w:eastAsia="Arial" w:hAnsi="Arial"/>
          <w:b/>
          <w:bCs/>
          <w:color w:val="1A3A2A"/>
          <w:sz w:val="28"/>
          <w:szCs w:val="28"/>
        </w:rPr>
        <w:t xml:space="preserve">Sprint 7 Scope</w:t>
      </w:r>
    </w:p>
    <w:p>
      <w:pPr>
        <w:spacing w:after="80" w:before="80"/>
      </w:pPr>
      <w:r>
        <w:rPr>
          <w:rFonts w:ascii="Arial" w:cs="Arial" w:eastAsia="Arial" w:hAnsi="Arial"/>
          <w:sz w:val="22"/>
          <w:szCs w:val="22"/>
        </w:rPr>
        <w:t xml:space="preserve">This sprint covers the end-to-end ManagerMatch experience from entry point through results. It does not include any downstream matching pipeline integration — that will follow in a later sprint once the archetype data is validated.</w:t>
      </w:r>
    </w:p>
    <w:p>
      <w:pPr>
        <w:spacing w:after="0" w:before="80"/>
      </w:pPr>
    </w:p>
    <w:p>
      <w:pPr>
        <w:spacing w:after="80" w:before="80"/>
      </w:pPr>
      <w:r>
        <w:rPr>
          <w:rFonts w:ascii="Arial" w:cs="Arial" w:eastAsia="Arial" w:hAnsi="Arial"/>
          <w:b/>
          <w:bCs/>
          <w:sz w:val="22"/>
          <w:szCs w:val="22"/>
        </w:rPr>
        <w:t xml:space="preserve">Planned for Sprint 7:</w:t>
      </w:r>
    </w:p>
    <w:p>
      <w:pPr>
        <w:spacing w:after="0" w:before="60"/>
      </w:pPr>
    </w:p>
    <w:p>
      <w:pPr>
        <w:pStyle w:val="ListParagraph"/>
        <w:numPr>
          <w:ilvl w:val="0"/>
          <w:numId w:val="2"/>
        </w:numPr>
        <w:spacing w:after="60" w:before="60"/>
      </w:pPr>
      <w:r>
        <w:rPr>
          <w:rFonts w:ascii="Arial" w:cs="Arial" w:eastAsia="Arial" w:hAnsi="Arial"/>
          <w:sz w:val="22"/>
          <w:szCs w:val="22"/>
        </w:rPr>
        <w:t xml:space="preserve">Finalize the question pairs and dimension mapping (spec sign-off required before build begins)</w:t>
      </w:r>
    </w:p>
    <w:p>
      <w:pPr>
        <w:pStyle w:val="ListParagraph"/>
        <w:numPr>
          <w:ilvl w:val="0"/>
          <w:numId w:val="2"/>
        </w:numPr>
        <w:spacing w:after="60" w:before="60"/>
      </w:pPr>
      <w:r>
        <w:rPr>
          <w:rFonts w:ascii="Arial" w:cs="Arial" w:eastAsia="Arial" w:hAnsi="Arial"/>
          <w:sz w:val="22"/>
          <w:szCs w:val="22"/>
        </w:rPr>
        <w:t xml:space="preserve">Intelligence Hub: replace the locked ManagerMatch card with an active entry point</w:t>
      </w:r>
    </w:p>
    <w:p>
      <w:pPr>
        <w:pStyle w:val="ListParagraph"/>
        <w:numPr>
          <w:ilvl w:val="0"/>
          <w:numId w:val="2"/>
        </w:numPr>
        <w:spacing w:after="60" w:before="60"/>
      </w:pPr>
      <w:r>
        <w:rPr>
          <w:rFonts w:ascii="Arial" w:cs="Arial" w:eastAsia="Arial" w:hAnsi="Arial"/>
          <w:sz w:val="22"/>
          <w:szCs w:val="22"/>
        </w:rPr>
        <w:t xml:space="preserve">Assessment flow: intro screen, forced-choice question pairs, progress indicator</w:t>
      </w:r>
    </w:p>
    <w:p>
      <w:pPr>
        <w:pStyle w:val="ListParagraph"/>
        <w:numPr>
          <w:ilvl w:val="0"/>
          <w:numId w:val="2"/>
        </w:numPr>
        <w:spacing w:after="60" w:before="60"/>
      </w:pPr>
      <w:r>
        <w:rPr>
          <w:rFonts w:ascii="Arial" w:cs="Arial" w:eastAsia="Arial" w:hAnsi="Arial"/>
          <w:sz w:val="22"/>
          <w:szCs w:val="22"/>
        </w:rPr>
        <w:t xml:space="preserve">Scoring logic and archetype assignment</w:t>
      </w:r>
    </w:p>
    <w:p>
      <w:pPr>
        <w:pStyle w:val="ListParagraph"/>
        <w:numPr>
          <w:ilvl w:val="0"/>
          <w:numId w:val="2"/>
        </w:numPr>
        <w:spacing w:after="60" w:before="60"/>
      </w:pPr>
      <w:r>
        <w:rPr>
          <w:rFonts w:ascii="Arial" w:cs="Arial" w:eastAsia="Arial" w:hAnsi="Arial"/>
          <w:sz w:val="22"/>
          <w:szCs w:val="22"/>
        </w:rPr>
        <w:t xml:space="preserve">Results page: archetype display, dimension breakdown, interview questions, red flags</w:t>
      </w:r>
    </w:p>
    <w:p>
      <w:pPr>
        <w:pStyle w:val="ListParagraph"/>
        <w:numPr>
          <w:ilvl w:val="0"/>
          <w:numId w:val="2"/>
        </w:numPr>
        <w:spacing w:after="60" w:before="60"/>
      </w:pPr>
      <w:r>
        <w:rPr>
          <w:rFonts w:ascii="Arial" w:cs="Arial" w:eastAsia="Arial" w:hAnsi="Arial"/>
          <w:sz w:val="22"/>
          <w:szCs w:val="22"/>
        </w:rPr>
        <w:t xml:space="preserve">Persist result to user profile for return visits</w:t>
      </w:r>
    </w:p>
    <w:p>
      <w:pPr>
        <w:spacing w:after="0" w:before="80"/>
      </w:pPr>
    </w:p>
    <w:p>
      <w:pPr>
        <w:spacing w:after="80" w:before="80"/>
      </w:pPr>
      <w:r>
        <w:rPr>
          <w:rFonts w:ascii="Arial" w:cs="Arial" w:eastAsia="Arial" w:hAnsi="Arial"/>
          <w:b/>
          <w:bCs/>
          <w:sz w:val="22"/>
          <w:szCs w:val="22"/>
        </w:rPr>
        <w:t xml:space="preserve">Not in Sprint 7:</w:t>
      </w:r>
    </w:p>
    <w:p>
      <w:pPr>
        <w:spacing w:after="0" w:before="60"/>
      </w:pPr>
    </w:p>
    <w:p>
      <w:pPr>
        <w:pStyle w:val="ListParagraph"/>
        <w:numPr>
          <w:ilvl w:val="0"/>
          <w:numId w:val="2"/>
        </w:numPr>
        <w:spacing w:after="60" w:before="60"/>
      </w:pPr>
      <w:r>
        <w:rPr>
          <w:rFonts w:ascii="Arial" w:cs="Arial" w:eastAsia="Arial" w:hAnsi="Arial"/>
          <w:sz w:val="22"/>
          <w:szCs w:val="22"/>
        </w:rPr>
        <w:t xml:space="preserve">LLM narrative generation (if chosen — deferred to a follow-on sprint)</w:t>
      </w:r>
    </w:p>
    <w:p>
      <w:pPr>
        <w:pStyle w:val="ListParagraph"/>
        <w:numPr>
          <w:ilvl w:val="0"/>
          <w:numId w:val="2"/>
        </w:numPr>
        <w:spacing w:after="60" w:before="60"/>
      </w:pPr>
      <w:r>
        <w:rPr>
          <w:rFonts w:ascii="Arial" w:cs="Arial" w:eastAsia="Arial" w:hAnsi="Arial"/>
          <w:sz w:val="22"/>
          <w:szCs w:val="22"/>
        </w:rPr>
        <w:t xml:space="preserve">Matching pipeline integration using archetype data</w:t>
      </w:r>
    </w:p>
    <w:p>
      <w:pPr>
        <w:pStyle w:val="ListParagraph"/>
        <w:numPr>
          <w:ilvl w:val="0"/>
          <w:numId w:val="2"/>
        </w:numPr>
        <w:spacing w:after="60" w:before="60"/>
      </w:pPr>
      <w:r>
        <w:rPr>
          <w:rFonts w:ascii="Arial" w:cs="Arial" w:eastAsia="Arial" w:hAnsi="Arial"/>
          <w:sz w:val="22"/>
          <w:szCs w:val="22"/>
        </w:rPr>
        <w:t xml:space="preserve">Recruiter-facing view of candidate archetypes</w:t>
      </w:r>
    </w:p>
    <w:p>
      <w:pPr>
        <w:spacing w:after="0" w:before="2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pPr>
    <w:r>
      <w:rPr>
        <w:rFonts w:ascii="Arial" w:cs="Arial" w:eastAsia="Arial" w:hAnsi="Arial"/>
        <w:color w:val="888888"/>
        <w:sz w:val="18"/>
        <w:szCs w:val="18"/>
      </w:rPr>
      <w:t xml:space="preserve">Solverah — WorkPulse Pro</w:t>
    </w:r>
    <w:r>
      <w:rPr>
        <w:rFonts w:ascii="Arial" w:cs="Arial" w:eastAsia="Arial" w:hAnsi="Arial"/>
        <w:color w:val="888888"/>
        <w:sz w:val="18"/>
        <w:szCs w:val="18"/>
      </w:rPr>
      <w:t xml:space="preserve">		ManagerMatch — Sprint 7 Product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2026-06-09T19:24:39.920Z</dcterms:created>
  <dcterms:modified xsi:type="dcterms:W3CDTF">2026-06-09T19:24:39.920Z</dcterms:modified>
</cp:coreProperties>
</file>

<file path=docProps/custom.xml><?xml version="1.0" encoding="utf-8"?>
<Properties xmlns="http://schemas.openxmlformats.org/officeDocument/2006/custom-properties" xmlns:vt="http://schemas.openxmlformats.org/officeDocument/2006/docPropsVTypes"/>
</file>