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
      </w:pPr>
    </w:p>
    <w:p>
      <w:pPr>
        <w:spacing w:after="80" w:before="0"/>
      </w:pPr>
      <w:r>
        <w:rPr>
          <w:rFonts w:ascii="Arial" w:cs="Arial" w:eastAsia="Arial" w:hAnsi="Arial"/>
          <w:b/>
          <w:bCs/>
          <w:color w:val="1A3A2A"/>
          <w:sz w:val="56"/>
          <w:szCs w:val="56"/>
        </w:rPr>
        <w:t xml:space="preserve">Path Intelligence</w:t>
      </w:r>
    </w:p>
    <w:p>
      <w:pPr>
        <w:spacing w:after="80" w:before="0"/>
      </w:pPr>
      <w:r>
        <w:rPr>
          <w:rFonts w:ascii="Arial" w:cs="Arial" w:eastAsia="Arial" w:hAnsi="Arial"/>
          <w:color w:val="2D5A3D"/>
          <w:sz w:val="28"/>
          <w:szCs w:val="28"/>
        </w:rPr>
        <w:t xml:space="preserve">Intelligence Hub — Future Sprint Product Brief</w:t>
      </w:r>
    </w:p>
    <w:p>
      <w:pPr>
        <w:spacing w:after="0" w:before="0"/>
      </w:pPr>
      <w:r>
        <w:rPr>
          <w:rFonts w:ascii="Arial" w:cs="Arial" w:eastAsia="Arial" w:hAnsi="Arial"/>
          <w:i/>
          <w:iCs/>
          <w:color w:val="888888"/>
          <w:sz w:val="20"/>
          <w:szCs w:val="20"/>
        </w:rPr>
        <w:t xml:space="preserve">Prepared for product review — June 2026</w:t>
      </w:r>
    </w:p>
    <w:p>
      <w:pPr>
        <w:pBdr>
          <w:bottom w:val="single" w:color="CCCCCC" w:sz="4" w:space="1"/>
        </w:pBdr>
        <w:spacing w:after="160" w:before="160"/>
      </w:pPr>
    </w:p>
    <w:p>
      <w:pPr>
        <w:pStyle w:val="Heading1"/>
        <w:spacing w:after="120" w:before="360"/>
      </w:pPr>
      <w:r>
        <w:rPr>
          <w:rFonts w:ascii="Arial" w:cs="Arial" w:eastAsia="Arial" w:hAnsi="Arial"/>
          <w:b/>
          <w:bCs/>
          <w:color w:val="1A3A2A"/>
          <w:sz w:val="28"/>
          <w:szCs w:val="28"/>
        </w:rPr>
        <w:t xml:space="preserve">Overview</w:t>
      </w:r>
    </w:p>
    <w:p>
      <w:pPr>
        <w:spacing w:after="80" w:before="80"/>
      </w:pPr>
      <w:r>
        <w:rPr>
          <w:rFonts w:ascii="Arial" w:cs="Arial" w:eastAsia="Arial" w:hAnsi="Arial"/>
          <w:sz w:val="22"/>
          <w:szCs w:val="22"/>
        </w:rPr>
        <w:t xml:space="preserve">Path Intelligence is the forward-looking engine of Solverah's Intelligence Hub. Where WorkPulse tells users who they are and ManagerMatch tells them what leadership they need, Path Intelligence answers the question users care about most: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DDDDD" w:sz="1"/>
              <w:left w:val="single" w:color="DDDDDD" w:sz="1"/>
              <w:bottom w:val="single" w:color="DDDDDD" w:sz="1"/>
              <w:right w:val="single" w:color="DDDDDD" w:sz="1"/>
            </w:tcBorders>
            <w:shd w:fill="EAF4EE" w:val="clear"/>
            <w:tcMar>
              <w:top w:type="dxa" w:w="140"/>
              <w:left w:type="dxa" w:w="180"/>
              <w:bottom w:type="dxa" w:w="140"/>
              <w:right w:type="dxa" w:w="180"/>
            </w:tcMar>
          </w:tcPr>
          <w:p>
            <w:pPr>
              <w:jc w:val="center"/>
            </w:pPr>
            <w:r>
              <w:rPr>
                <w:rFonts w:ascii="Arial" w:cs="Arial" w:eastAsia="Arial" w:hAnsi="Arial"/>
                <w:b/>
                <w:bCs/>
                <w:color w:val="1A3A2A"/>
                <w:sz w:val="20"/>
                <w:szCs w:val="20"/>
              </w:rPr>
              <w:t xml:space="preserve">The question</w:t>
            </w:r>
          </w:p>
        </w:tc>
        <w:tc>
          <w:tcPr>
            <w:tcW w:type="dxa" w:w="7920"/>
            <w:tcBorders>
              <w:top w:val="single" w:color="DDDDDD" w:sz="1"/>
              <w:left w:val="single" w:color="DDDDDD" w:sz="1"/>
              <w:bottom w:val="single" w:color="DDDDDD" w:sz="1"/>
              <w:right w:val="single" w:color="DDDDDD" w:sz="1"/>
            </w:tcBorders>
            <w:tcMar>
              <w:top w:type="dxa" w:w="140"/>
              <w:left w:type="dxa" w:w="180"/>
              <w:bottom w:type="dxa" w:w="140"/>
              <w:right w:type="dxa" w:w="180"/>
            </w:tcMar>
          </w:tcPr>
          <w:p>
            <w:r>
              <w:rPr>
                <w:rFonts w:ascii="Arial" w:cs="Arial" w:eastAsia="Arial" w:hAnsi="Arial"/>
                <w:i/>
                <w:iCs/>
                <w:sz w:val="20"/>
                <w:szCs w:val="20"/>
              </w:rPr>
              <w:t xml:space="preserve">"Where do I go from here — and how do I actually get there?"</w:t>
            </w:r>
          </w:p>
        </w:tc>
      </w:tr>
    </w:tbl>
    <w:p>
      <w:pPr>
        <w:spacing w:after="0" w:before="120"/>
      </w:pPr>
    </w:p>
    <w:p>
      <w:pPr>
        <w:spacing w:after="80" w:before="80"/>
      </w:pPr>
      <w:r>
        <w:rPr>
          <w:rFonts w:ascii="Arial" w:cs="Arial" w:eastAsia="Arial" w:hAnsi="Arial"/>
          <w:sz w:val="22"/>
          <w:szCs w:val="22"/>
        </w:rPr>
        <w:t xml:space="preserve">Path Intelligence combines everything Solverah already knows about a user — their skills profile, personality archetype, management preferences, and stated goals — to surface concrete career paths, identify exactly what's standing between them and their target role, and help them track their progress over time.</w:t>
      </w:r>
    </w:p>
    <w:p>
      <w:pPr>
        <w:spacing w:after="0" w:before="80"/>
      </w:pPr>
    </w:p>
    <w:p>
      <w:pPr>
        <w:spacing w:after="80" w:before="80"/>
      </w:pPr>
      <w:r>
        <w:rPr>
          <w:rFonts w:ascii="Arial" w:cs="Arial" w:eastAsia="Arial" w:hAnsi="Arial"/>
          <w:sz w:val="22"/>
          <w:szCs w:val="22"/>
        </w:rPr>
        <w:t xml:space="preserve">It is made up of three interconnected pillars that together form a continuous career planning experience.</w:t>
      </w:r>
    </w:p>
    <w:p>
      <w:pPr>
        <w:pBdr>
          <w:bottom w:val="single" w:color="CCCCCC" w:sz="4" w:space="1"/>
        </w:pBdr>
        <w:spacing w:after="160" w:before="160"/>
      </w:pPr>
    </w:p>
    <w:p>
      <w:pPr>
        <w:pStyle w:val="Heading1"/>
        <w:spacing w:after="120" w:before="360"/>
      </w:pPr>
      <w:r>
        <w:rPr>
          <w:rFonts w:ascii="Arial" w:cs="Arial" w:eastAsia="Arial" w:hAnsi="Arial"/>
          <w:b/>
          <w:bCs/>
          <w:color w:val="1A3A2A"/>
          <w:sz w:val="28"/>
          <w:szCs w:val="28"/>
        </w:rPr>
        <w:t xml:space="preserve">The Problem We're Solving</w:t>
      </w:r>
    </w:p>
    <w:p>
      <w:pPr>
        <w:spacing w:after="80" w:before="80"/>
      </w:pPr>
      <w:r>
        <w:rPr>
          <w:rFonts w:ascii="Arial" w:cs="Arial" w:eastAsia="Arial" w:hAnsi="Arial"/>
          <w:sz w:val="22"/>
          <w:szCs w:val="22"/>
        </w:rPr>
        <w:t xml:space="preserve">Career development advice is everywhere, but almost none of it is personalized. Generic articles about how to become a product manager don't know that you have six years in operations, an analytical archetype, and a strong preference for autonomous management. Solverah does.</w:t>
      </w:r>
    </w:p>
    <w:p>
      <w:pPr>
        <w:spacing w:after="0" w:before="80"/>
      </w:pPr>
    </w:p>
    <w:p>
      <w:pPr>
        <w:spacing w:after="80" w:before="80"/>
      </w:pPr>
      <w:r>
        <w:rPr>
          <w:rFonts w:ascii="Arial" w:cs="Arial" w:eastAsia="Arial" w:hAnsi="Arial"/>
          <w:sz w:val="22"/>
          <w:szCs w:val="22"/>
        </w:rPr>
        <w:t xml:space="preserve">The gap in the market is not information — it's translation. Users need someone to take their specific profile and tell them: here are the two or three paths that make sense for you, here is exactly what you're missing to be competitive, and here is a plan you can actually follow.</w:t>
      </w:r>
    </w:p>
    <w:p>
      <w:pPr>
        <w:spacing w:after="0" w:before="80"/>
      </w:pPr>
    </w:p>
    <w:p>
      <w:pPr>
        <w:spacing w:after="80" w:before="80"/>
      </w:pPr>
      <w:r>
        <w:rPr>
          <w:rFonts w:ascii="Arial" w:cs="Arial" w:eastAsia="Arial" w:hAnsi="Arial"/>
          <w:sz w:val="22"/>
          <w:szCs w:val="22"/>
        </w:rPr>
        <w:t xml:space="preserve">Path Intelligence is that translation layer.</w:t>
      </w:r>
    </w:p>
    <w:p>
      <w:pPr>
        <w:pBdr>
          <w:bottom w:val="single" w:color="CCCCCC" w:sz="4" w:space="1"/>
        </w:pBdr>
        <w:spacing w:after="160" w:before="160"/>
      </w:pPr>
    </w:p>
    <w:p>
      <w:pPr>
        <w:pStyle w:val="Heading1"/>
        <w:spacing w:after="120" w:before="360"/>
      </w:pPr>
      <w:r>
        <w:rPr>
          <w:rFonts w:ascii="Arial" w:cs="Arial" w:eastAsia="Arial" w:hAnsi="Arial"/>
          <w:b/>
          <w:bCs/>
          <w:color w:val="1A3A2A"/>
          <w:sz w:val="28"/>
          <w:szCs w:val="28"/>
        </w:rPr>
        <w:t xml:space="preserve">How It Works: The Three Pillars</w:t>
      </w:r>
    </w:p>
    <w:p>
      <w:pPr>
        <w:spacing w:after="80" w:before="80"/>
      </w:pPr>
      <w:r>
        <w:rPr>
          <w:rFonts w:ascii="Arial" w:cs="Arial" w:eastAsia="Arial" w:hAnsi="Arial"/>
          <w:sz w:val="22"/>
          <w:szCs w:val="22"/>
        </w:rPr>
        <w:t xml:space="preserve">Path Intelligence is built on three pillars that work together. A user doesn't have to engage with all three at once — they can start with path suggestions, then drill into a gap analysis, then set milestones when they're ready.</w:t>
      </w:r>
    </w:p>
    <w:p>
      <w:pPr>
        <w:spacing w:after="0" w:before="120"/>
      </w:pPr>
    </w:p>
    <w:p>
      <w:pPr>
        <w:pStyle w:val="Heading2"/>
        <w:spacing w:after="80" w:before="240"/>
      </w:pPr>
      <w:r>
        <w:rPr>
          <w:rFonts w:ascii="Arial" w:cs="Arial" w:eastAsia="Arial" w:hAnsi="Arial"/>
          <w:b/>
          <w:bCs/>
          <w:color w:val="2D5A3D"/>
          <w:sz w:val="24"/>
          <w:szCs w:val="24"/>
        </w:rPr>
        <w:t xml:space="preserve">Pillar 1 — Path Suggestions</w:t>
      </w:r>
    </w:p>
    <w:p>
      <w:pPr>
        <w:spacing w:after="80" w:before="80"/>
      </w:pPr>
      <w:r>
        <w:rPr>
          <w:rFonts w:ascii="Arial" w:cs="Arial" w:eastAsia="Arial" w:hAnsi="Arial"/>
          <w:sz w:val="22"/>
          <w:szCs w:val="22"/>
        </w:rPr>
        <w:t xml:space="preserve">When a user opens Path Intelligence for the first time, Solverah surfaces 2–3 recommended career paths based on their full profile. These aren't generic paths — they're grounded in the user's actual archetype, skills, and management preferences.</w:t>
      </w:r>
    </w:p>
    <w:p>
      <w:pPr>
        <w:spacing w:after="0" w:before="80"/>
      </w:pPr>
    </w:p>
    <w:p>
      <w:pPr>
        <w:spacing w:after="80" w:before="80"/>
      </w:pPr>
      <w:r>
        <w:rPr>
          <w:rFonts w:ascii="Arial" w:cs="Arial" w:eastAsia="Arial" w:hAnsi="Arial"/>
          <w:sz w:val="22"/>
          <w:szCs w:val="22"/>
        </w:rPr>
        <w:t xml:space="preserve">For example, a user with a Creative Drive archetype, strong content skills, and a preference for autonomous management might see:</w:t>
      </w:r>
    </w:p>
    <w:p>
      <w:pPr>
        <w:spacing w:after="0" w:before="60"/>
      </w:pPr>
    </w:p>
    <w:p>
      <w:pPr>
        <w:pStyle w:val="ListParagraph"/>
        <w:numPr>
          <w:ilvl w:val="0"/>
          <w:numId w:val="2"/>
        </w:numPr>
        <w:spacing w:after="60" w:before="60"/>
      </w:pPr>
      <w:r>
        <w:rPr>
          <w:rFonts w:ascii="Arial" w:cs="Arial" w:eastAsia="Arial" w:hAnsi="Arial"/>
          <w:sz w:val="22"/>
          <w:szCs w:val="22"/>
        </w:rPr>
        <w:t xml:space="preserve">Senior Content Strategist → Director of Content</w:t>
      </w:r>
    </w:p>
    <w:p>
      <w:pPr>
        <w:pStyle w:val="ListParagraph"/>
        <w:numPr>
          <w:ilvl w:val="0"/>
          <w:numId w:val="2"/>
        </w:numPr>
        <w:spacing w:after="60" w:before="60"/>
      </w:pPr>
      <w:r>
        <w:rPr>
          <w:rFonts w:ascii="Arial" w:cs="Arial" w:eastAsia="Arial" w:hAnsi="Arial"/>
          <w:sz w:val="22"/>
          <w:szCs w:val="22"/>
        </w:rPr>
        <w:t xml:space="preserve">Brand Marketing Manager → Head of Brand</w:t>
      </w:r>
    </w:p>
    <w:p>
      <w:pPr>
        <w:pStyle w:val="ListParagraph"/>
        <w:numPr>
          <w:ilvl w:val="0"/>
          <w:numId w:val="2"/>
        </w:numPr>
        <w:spacing w:after="60" w:before="60"/>
      </w:pPr>
      <w:r>
        <w:rPr>
          <w:rFonts w:ascii="Arial" w:cs="Arial" w:eastAsia="Arial" w:hAnsi="Arial"/>
          <w:sz w:val="22"/>
          <w:szCs w:val="22"/>
        </w:rPr>
        <w:t xml:space="preserve">Product Marketing Manager → VP of Product Marketing</w:t>
      </w:r>
    </w:p>
    <w:p>
      <w:pPr>
        <w:spacing w:after="0" w:before="80"/>
      </w:pPr>
    </w:p>
    <w:p>
      <w:pPr>
        <w:spacing w:after="80" w:before="80"/>
      </w:pPr>
      <w:r>
        <w:rPr>
          <w:rFonts w:ascii="Arial" w:cs="Arial" w:eastAsia="Arial" w:hAnsi="Arial"/>
          <w:sz w:val="22"/>
          <w:szCs w:val="22"/>
        </w:rPr>
        <w:t xml:space="preserve">Each suggestion shows why Solverah is recommending it — which dimensions of their profile it maps to — so the recommendation feels earned, not algorithmic.</w:t>
      </w:r>
    </w:p>
    <w:p>
      <w:pPr>
        <w:spacing w:after="0" w:before="80"/>
      </w:pPr>
    </w:p>
    <w:p>
      <w:pPr>
        <w:spacing w:after="80" w:before="80"/>
      </w:pPr>
      <w:r>
        <w:rPr>
          <w:rFonts w:ascii="Arial" w:cs="Arial" w:eastAsia="Arial" w:hAnsi="Arial"/>
          <w:sz w:val="22"/>
          <w:szCs w:val="22"/>
        </w:rPr>
        <w:t xml:space="preserve">Users can also ignore the suggestions and enter their own target role manually. Once a target is set, Pillar 2 activates.</w:t>
      </w:r>
    </w:p>
    <w:p>
      <w:pPr>
        <w:spacing w:after="0" w:before="120"/>
      </w:pPr>
    </w:p>
    <w:p>
      <w:pPr>
        <w:pStyle w:val="Heading2"/>
        <w:spacing w:after="80" w:before="240"/>
      </w:pPr>
      <w:r>
        <w:rPr>
          <w:rFonts w:ascii="Arial" w:cs="Arial" w:eastAsia="Arial" w:hAnsi="Arial"/>
          <w:b/>
          <w:bCs/>
          <w:color w:val="2D5A3D"/>
          <w:sz w:val="24"/>
          <w:szCs w:val="24"/>
        </w:rPr>
        <w:t xml:space="preserve">Pillar 2 — Skills Gap Roadmap</w:t>
      </w:r>
    </w:p>
    <w:p>
      <w:pPr>
        <w:spacing w:after="80" w:before="80"/>
      </w:pPr>
      <w:r>
        <w:rPr>
          <w:rFonts w:ascii="Arial" w:cs="Arial" w:eastAsia="Arial" w:hAnsi="Arial"/>
          <w:sz w:val="22"/>
          <w:szCs w:val="22"/>
        </w:rPr>
        <w:t xml:space="preserve">Once the user has a target role (either from Solverah's suggestions or their own input), the Skills Gap Roadmap shows them what stands between where they are now and where they want to be.</w:t>
      </w:r>
    </w:p>
    <w:p>
      <w:pPr>
        <w:spacing w:after="0" w:before="80"/>
      </w:pPr>
    </w:p>
    <w:p>
      <w:pPr>
        <w:spacing w:after="80" w:before="80"/>
      </w:pPr>
      <w:r>
        <w:rPr>
          <w:rFonts w:ascii="Arial" w:cs="Arial" w:eastAsia="Arial" w:hAnsi="Arial"/>
          <w:sz w:val="22"/>
          <w:szCs w:val="22"/>
        </w:rPr>
        <w:t xml:space="preserve">The roadmap breaks down into three categories:</w:t>
      </w:r>
    </w:p>
    <w:p>
      <w:pPr>
        <w:spacing w:after="0" w:before="60"/>
      </w:pPr>
    </w:p>
    <w:p>
      <w:pPr>
        <w:pStyle w:val="ListParagraph"/>
        <w:numPr>
          <w:ilvl w:val="0"/>
          <w:numId w:val="2"/>
        </w:numPr>
        <w:spacing w:after="60" w:before="60"/>
      </w:pPr>
      <w:r>
        <w:rPr>
          <w:rFonts w:ascii="Arial" w:cs="Arial" w:eastAsia="Arial" w:hAnsi="Arial"/>
          <w:sz w:val="22"/>
          <w:szCs w:val="22"/>
        </w:rPr>
        <w:t xml:space="preserve">Skills you already have that are relevant to the target role</w:t>
      </w:r>
    </w:p>
    <w:p>
      <w:pPr>
        <w:pStyle w:val="ListParagraph"/>
        <w:numPr>
          <w:ilvl w:val="0"/>
          <w:numId w:val="2"/>
        </w:numPr>
        <w:spacing w:after="60" w:before="60"/>
      </w:pPr>
      <w:r>
        <w:rPr>
          <w:rFonts w:ascii="Arial" w:cs="Arial" w:eastAsia="Arial" w:hAnsi="Arial"/>
          <w:sz w:val="22"/>
          <w:szCs w:val="22"/>
        </w:rPr>
        <w:t xml:space="preserve">Skills you're partially there on — you have some experience but not enough to be competitive</w:t>
      </w:r>
    </w:p>
    <w:p>
      <w:pPr>
        <w:pStyle w:val="ListParagraph"/>
        <w:numPr>
          <w:ilvl w:val="0"/>
          <w:numId w:val="2"/>
        </w:numPr>
        <w:spacing w:after="60" w:before="60"/>
      </w:pPr>
      <w:r>
        <w:rPr>
          <w:rFonts w:ascii="Arial" w:cs="Arial" w:eastAsia="Arial" w:hAnsi="Arial"/>
          <w:sz w:val="22"/>
          <w:szCs w:val="22"/>
        </w:rPr>
        <w:t xml:space="preserve">Skills that are missing entirely from your profile</w:t>
      </w:r>
    </w:p>
    <w:p>
      <w:pPr>
        <w:spacing w:after="0" w:before="80"/>
      </w:pPr>
    </w:p>
    <w:p>
      <w:pPr>
        <w:spacing w:after="80" w:before="80"/>
      </w:pPr>
      <w:r>
        <w:rPr>
          <w:rFonts w:ascii="Arial" w:cs="Arial" w:eastAsia="Arial" w:hAnsi="Arial"/>
          <w:sz w:val="22"/>
          <w:szCs w:val="22"/>
        </w:rPr>
        <w:t xml:space="preserve">For each gap, Solverah surfaces a concrete action — not just "learn Python" but the specific type of experience or credential that would close that gap based on what employers actually hire for in that role.</w:t>
      </w:r>
    </w:p>
    <w:p>
      <w:pPr>
        <w:spacing w:after="0" w:before="80"/>
      </w:pPr>
    </w:p>
    <w:p>
      <w:pPr>
        <w:spacing w:after="80" w:before="80"/>
      </w:pPr>
      <w:r>
        <w:rPr>
          <w:rFonts w:ascii="Arial" w:cs="Arial" w:eastAsia="Arial" w:hAnsi="Arial"/>
          <w:sz w:val="22"/>
          <w:szCs w:val="22"/>
        </w:rPr>
        <w:t xml:space="preserve">The roadmap also flags experience gaps — cases where the user has the right skills but not enough years — and gives an honest read on timeline: how long it would realistically take to close the gap based on typical career progression.</w:t>
      </w:r>
    </w:p>
    <w:p>
      <w:pPr>
        <w:spacing w:after="0" w:before="120"/>
      </w:pPr>
    </w:p>
    <w:p>
      <w:pPr>
        <w:pStyle w:val="Heading2"/>
        <w:spacing w:after="80" w:before="240"/>
      </w:pPr>
      <w:r>
        <w:rPr>
          <w:rFonts w:ascii="Arial" w:cs="Arial" w:eastAsia="Arial" w:hAnsi="Arial"/>
          <w:b/>
          <w:bCs/>
          <w:color w:val="2D5A3D"/>
          <w:sz w:val="24"/>
          <w:szCs w:val="24"/>
        </w:rPr>
        <w:t xml:space="preserve">Pillar 3 — Milestone Tracking</w:t>
      </w:r>
    </w:p>
    <w:p>
      <w:pPr>
        <w:spacing w:after="80" w:before="80"/>
      </w:pPr>
      <w:r>
        <w:rPr>
          <w:rFonts w:ascii="Arial" w:cs="Arial" w:eastAsia="Arial" w:hAnsi="Arial"/>
          <w:sz w:val="22"/>
          <w:szCs w:val="22"/>
        </w:rPr>
        <w:t xml:space="preserve">The Milestone Tracker turns the roadmap into a living to-do list. Users can set milestones against the gaps identified in Pillar 2 — things like completing a certification, taking on a new type of project, or hitting a years-of-experience threshold.</w:t>
      </w:r>
    </w:p>
    <w:p>
      <w:pPr>
        <w:spacing w:after="0" w:before="80"/>
      </w:pPr>
    </w:p>
    <w:p>
      <w:pPr>
        <w:spacing w:after="80" w:before="80"/>
      </w:pPr>
      <w:r>
        <w:rPr>
          <w:rFonts w:ascii="Arial" w:cs="Arial" w:eastAsia="Arial" w:hAnsi="Arial"/>
          <w:sz w:val="22"/>
          <w:szCs w:val="22"/>
        </w:rPr>
        <w:t xml:space="preserve">Milestones are:</w:t>
      </w:r>
    </w:p>
    <w:p>
      <w:pPr>
        <w:spacing w:after="0" w:before="60"/>
      </w:pPr>
    </w:p>
    <w:p>
      <w:pPr>
        <w:pStyle w:val="ListParagraph"/>
        <w:numPr>
          <w:ilvl w:val="0"/>
          <w:numId w:val="2"/>
        </w:numPr>
        <w:spacing w:after="60" w:before="60"/>
      </w:pPr>
      <w:r>
        <w:rPr>
          <w:rFonts w:ascii="Arial" w:cs="Arial" w:eastAsia="Arial" w:hAnsi="Arial"/>
          <w:sz w:val="22"/>
          <w:szCs w:val="22"/>
        </w:rPr>
        <w:t xml:space="preserve">Tied to specific gaps in the roadmap so users always know why they're doing what they're doing</w:t>
      </w:r>
    </w:p>
    <w:p>
      <w:pPr>
        <w:pStyle w:val="ListParagraph"/>
        <w:numPr>
          <w:ilvl w:val="0"/>
          <w:numId w:val="2"/>
        </w:numPr>
        <w:spacing w:after="60" w:before="60"/>
      </w:pPr>
      <w:r>
        <w:rPr>
          <w:rFonts w:ascii="Arial" w:cs="Arial" w:eastAsia="Arial" w:hAnsi="Arial"/>
          <w:sz w:val="22"/>
          <w:szCs w:val="22"/>
        </w:rPr>
        <w:t xml:space="preserve">Completable by the user when they've hit them — Solverah doesn't try to verify externally</w:t>
      </w:r>
    </w:p>
    <w:p>
      <w:pPr>
        <w:pStyle w:val="ListParagraph"/>
        <w:numPr>
          <w:ilvl w:val="0"/>
          <w:numId w:val="2"/>
        </w:numPr>
        <w:spacing w:after="60" w:before="60"/>
      </w:pPr>
      <w:r>
        <w:rPr>
          <w:rFonts w:ascii="Arial" w:cs="Arial" w:eastAsia="Arial" w:hAnsi="Arial"/>
          <w:sz w:val="22"/>
          <w:szCs w:val="22"/>
        </w:rPr>
        <w:t xml:space="preserve">Reflected back in the gap analysis when marked complete, so users can see their readiness score improve over time</w:t>
      </w:r>
    </w:p>
    <w:p>
      <w:pPr>
        <w:spacing w:after="0" w:before="80"/>
      </w:pPr>
    </w:p>
    <w:p>
      <w:pPr>
        <w:spacing w:after="80" w:before="80"/>
      </w:pPr>
      <w:r>
        <w:rPr>
          <w:rFonts w:ascii="Arial" w:cs="Arial" w:eastAsia="Arial" w:hAnsi="Arial"/>
          <w:sz w:val="22"/>
          <w:szCs w:val="22"/>
        </w:rPr>
        <w:t xml:space="preserve">Over time, the Milestone Tracker becomes a record of intentional career development — something a user can point to in an interview or performance review.</w:t>
      </w:r>
    </w:p>
    <w:p>
      <w:pPr>
        <w:pBdr>
          <w:bottom w:val="single" w:color="CCCCCC" w:sz="4" w:space="1"/>
        </w:pBdr>
        <w:spacing w:after="160" w:before="160"/>
      </w:pPr>
    </w:p>
    <w:p>
      <w:pPr>
        <w:pStyle w:val="Heading1"/>
        <w:spacing w:after="120" w:before="360"/>
      </w:pPr>
      <w:r>
        <w:rPr>
          <w:rFonts w:ascii="Arial" w:cs="Arial" w:eastAsia="Arial" w:hAnsi="Arial"/>
          <w:b/>
          <w:bCs/>
          <w:color w:val="1A3A2A"/>
          <w:sz w:val="28"/>
          <w:szCs w:val="28"/>
        </w:rPr>
        <w:t xml:space="preserve">Data Inputs</w:t>
      </w:r>
    </w:p>
    <w:p>
      <w:pPr>
        <w:spacing w:after="80" w:before="80"/>
      </w:pPr>
      <w:r>
        <w:rPr>
          <w:rFonts w:ascii="Arial" w:cs="Arial" w:eastAsia="Arial" w:hAnsi="Arial"/>
          <w:sz w:val="22"/>
          <w:szCs w:val="22"/>
        </w:rPr>
        <w:t xml:space="preserve">Path Intelligence draws from every major signal Solverah has collected about the user. The more of the Intelligence Hub a user has completed, the more precise the recommendations become.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DDDDDD" w:sz="1"/>
              <w:left w:val="single" w:color="DDDDDD" w:sz="1"/>
              <w:bottom w:val="single" w:color="DDDDDD" w:sz="1"/>
              <w:right w:val="single" w:color="DDDDDD" w:sz="1"/>
            </w:tcBorders>
            <w:shd w:fill="1A3A2A" w:val="clear"/>
            <w:tcMar>
              <w:top w:type="dxa" w:w="100"/>
              <w:left w:type="dxa" w:w="160"/>
              <w:bottom w:type="dxa" w:w="100"/>
              <w:right w:type="dxa" w:w="160"/>
            </w:tcMar>
          </w:tcPr>
          <w:p>
            <w:r>
              <w:rPr>
                <w:rFonts w:ascii="Arial" w:cs="Arial" w:eastAsia="Arial" w:hAnsi="Arial"/>
                <w:b/>
                <w:bCs/>
                <w:color w:val="FFFFFF"/>
                <w:sz w:val="20"/>
                <w:szCs w:val="20"/>
              </w:rPr>
              <w:t xml:space="preserve">Data source</w:t>
            </w:r>
          </w:p>
        </w:tc>
        <w:tc>
          <w:tcPr>
            <w:tcW w:type="dxa" w:w="3360"/>
            <w:tcBorders>
              <w:top w:val="single" w:color="DDDDDD" w:sz="1"/>
              <w:left w:val="single" w:color="DDDDDD" w:sz="1"/>
              <w:bottom w:val="single" w:color="DDDDDD" w:sz="1"/>
              <w:right w:val="single" w:color="DDDDDD" w:sz="1"/>
            </w:tcBorders>
            <w:shd w:fill="1A3A2A" w:val="clear"/>
            <w:tcMar>
              <w:top w:type="dxa" w:w="100"/>
              <w:left w:type="dxa" w:w="160"/>
              <w:bottom w:type="dxa" w:w="100"/>
              <w:right w:type="dxa" w:w="160"/>
            </w:tcMar>
          </w:tcPr>
          <w:p>
            <w:r>
              <w:rPr>
                <w:rFonts w:ascii="Arial" w:cs="Arial" w:eastAsia="Arial" w:hAnsi="Arial"/>
                <w:b/>
                <w:bCs/>
                <w:color w:val="FFFFFF"/>
                <w:sz w:val="20"/>
                <w:szCs w:val="20"/>
              </w:rPr>
              <w:t xml:space="preserve">What it contributes</w:t>
            </w:r>
          </w:p>
        </w:tc>
        <w:tc>
          <w:tcPr>
            <w:tcW w:type="dxa" w:w="3600"/>
            <w:tcBorders>
              <w:top w:val="single" w:color="DDDDDD" w:sz="1"/>
              <w:left w:val="single" w:color="DDDDDD" w:sz="1"/>
              <w:bottom w:val="single" w:color="DDDDDD" w:sz="1"/>
              <w:right w:val="single" w:color="DDDDDD" w:sz="1"/>
            </w:tcBorders>
            <w:shd w:fill="1A3A2A" w:val="clear"/>
            <w:tcMar>
              <w:top w:type="dxa" w:w="100"/>
              <w:left w:type="dxa" w:w="160"/>
              <w:bottom w:type="dxa" w:w="100"/>
              <w:right w:type="dxa" w:w="160"/>
            </w:tcMar>
          </w:tcPr>
          <w:p>
            <w:r>
              <w:rPr>
                <w:rFonts w:ascii="Arial" w:cs="Arial" w:eastAsia="Arial" w:hAnsi="Arial"/>
                <w:b/>
                <w:bCs/>
                <w:color w:val="FFFFFF"/>
                <w:sz w:val="20"/>
                <w:szCs w:val="20"/>
              </w:rPr>
              <w:t xml:space="preserve">Impact if missing</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sz w:val="20"/>
                <w:szCs w:val="20"/>
              </w:rPr>
              <w:t xml:space="preserve">Resume / Skills Profile</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sz w:val="20"/>
                <w:szCs w:val="20"/>
              </w:rPr>
              <w:t xml:space="preserve">Current skills, years of experience, education, certifications</w:t>
            </w:r>
          </w:p>
        </w:tc>
        <w:tc>
          <w:tcPr>
            <w:tcW w:type="dxa" w:w="3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sz w:val="20"/>
                <w:szCs w:val="20"/>
              </w:rPr>
              <w:t xml:space="preserve">Gap analysis cannot run — user prompted to upload resume</w:t>
            </w:r>
          </w:p>
        </w:tc>
      </w:tr>
      <w:tr>
        <w:tc>
          <w:tcPr>
            <w:tcW w:type="dxa" w:w="24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sz w:val="20"/>
                <w:szCs w:val="20"/>
              </w:rPr>
              <w:t xml:space="preserve">WorkPulse Results</w:t>
            </w:r>
          </w:p>
        </w:tc>
        <w:tc>
          <w:tcPr>
            <w:tcW w:type="dxa" w:w="336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sz w:val="20"/>
                <w:szCs w:val="20"/>
              </w:rPr>
              <w:t xml:space="preserve">Personality archetype and culture dimensions — informs which paths are personality-compatible</w:t>
            </w:r>
          </w:p>
        </w:tc>
        <w:tc>
          <w:tcPr>
            <w:tcW w:type="dxa" w:w="36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sz w:val="20"/>
                <w:szCs w:val="20"/>
              </w:rPr>
              <w:t xml:space="preserve">Path suggestions are generic, not archetype-matched</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sz w:val="20"/>
                <w:szCs w:val="20"/>
              </w:rPr>
              <w:t xml:space="preserve">ManagerMatch Results</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sz w:val="20"/>
                <w:szCs w:val="20"/>
              </w:rPr>
              <w:t xml:space="preserve">Management style preference — used to filter paths at companies with conflicting management culture</w:t>
            </w:r>
          </w:p>
        </w:tc>
        <w:tc>
          <w:tcPr>
            <w:tcW w:type="dxa" w:w="3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sz w:val="20"/>
                <w:szCs w:val="20"/>
              </w:rPr>
              <w:t xml:space="preserve">Path suggestions don't account for management fit</w:t>
            </w:r>
          </w:p>
        </w:tc>
      </w:tr>
      <w:tr>
        <w:tc>
          <w:tcPr>
            <w:tcW w:type="dxa" w:w="24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sz w:val="20"/>
                <w:szCs w:val="20"/>
              </w:rPr>
              <w:t xml:space="preserve">User-Stated Goals</w:t>
            </w:r>
          </w:p>
        </w:tc>
        <w:tc>
          <w:tcPr>
            <w:tcW w:type="dxa" w:w="336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sz w:val="20"/>
                <w:szCs w:val="20"/>
              </w:rPr>
              <w:t xml:space="preserve">Target role or career direction entered manually — anchors the gap analysis and roadmap</w:t>
            </w:r>
          </w:p>
        </w:tc>
        <w:tc>
          <w:tcPr>
            <w:tcW w:type="dxa" w:w="36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sz w:val="20"/>
                <w:szCs w:val="20"/>
              </w:rPr>
              <w:t xml:space="preserve">User is shown suggestions only; roadmap inactive until a target is set</w:t>
            </w:r>
          </w:p>
        </w:tc>
      </w:tr>
    </w:tbl>
    <w:p>
      <w:pPr>
        <w:pBdr>
          <w:bottom w:val="single" w:color="CCCCCC" w:sz="4" w:space="1"/>
        </w:pBdr>
        <w:spacing w:after="160" w:before="160"/>
      </w:pPr>
    </w:p>
    <w:p>
      <w:pPr>
        <w:pStyle w:val="Heading1"/>
        <w:spacing w:after="120" w:before="360"/>
      </w:pPr>
      <w:r>
        <w:rPr>
          <w:rFonts w:ascii="Arial" w:cs="Arial" w:eastAsia="Arial" w:hAnsi="Arial"/>
          <w:b/>
          <w:bCs/>
          <w:color w:val="1A3A2A"/>
          <w:sz w:val="28"/>
          <w:szCs w:val="28"/>
        </w:rPr>
        <w:t xml:space="preserve">The Unified Profile Concept</w:t>
      </w:r>
    </w:p>
    <w:p>
      <w:pPr>
        <w:spacing w:after="80" w:before="80"/>
      </w:pPr>
      <w:r>
        <w:rPr>
          <w:rFonts w:ascii="Arial" w:cs="Arial" w:eastAsia="Arial" w:hAnsi="Arial"/>
          <w:sz w:val="22"/>
          <w:szCs w:val="22"/>
        </w:rPr>
        <w:t xml:space="preserve">Path Intelligence is the first feature in the Intelligence Hub that explicitly synthesizes all of the hub's other signals into a single view. This makes it a natural capstone for the Intelligence Hub experience.</w:t>
      </w:r>
    </w:p>
    <w:p>
      <w:pPr>
        <w:spacing w:after="0" w:before="80"/>
      </w:pPr>
    </w:p>
    <w:p>
      <w:pPr>
        <w:spacing w:after="80" w:before="80"/>
      </w:pPr>
      <w:r>
        <w:rPr>
          <w:rFonts w:ascii="Arial" w:cs="Arial" w:eastAsia="Arial" w:hAnsi="Arial"/>
          <w:sz w:val="22"/>
          <w:szCs w:val="22"/>
        </w:rPr>
        <w:t xml:space="preserve">The user journey looks like this:</w:t>
      </w:r>
    </w:p>
    <w:p>
      <w:pPr>
        <w:spacing w:after="0" w:before="60"/>
      </w:pPr>
    </w:p>
    <w:p>
      <w:pPr>
        <w:pStyle w:val="ListParagraph"/>
        <w:numPr>
          <w:ilvl w:val="0"/>
          <w:numId w:val="2"/>
        </w:numPr>
        <w:spacing w:after="60" w:before="60"/>
      </w:pPr>
      <w:r>
        <w:rPr>
          <w:rFonts w:ascii="Arial" w:cs="Arial" w:eastAsia="Arial" w:hAnsi="Arial"/>
          <w:sz w:val="22"/>
          <w:szCs w:val="22"/>
        </w:rPr>
        <w:t xml:space="preserve">Complete WorkPulse → understand who you are</w:t>
      </w:r>
    </w:p>
    <w:p>
      <w:pPr>
        <w:pStyle w:val="ListParagraph"/>
        <w:numPr>
          <w:ilvl w:val="0"/>
          <w:numId w:val="2"/>
        </w:numPr>
        <w:spacing w:after="60" w:before="60"/>
      </w:pPr>
      <w:r>
        <w:rPr>
          <w:rFonts w:ascii="Arial" w:cs="Arial" w:eastAsia="Arial" w:hAnsi="Arial"/>
          <w:sz w:val="22"/>
          <w:szCs w:val="22"/>
        </w:rPr>
        <w:t xml:space="preserve">Complete ManagerMatch → understand how you need to be led</w:t>
      </w:r>
    </w:p>
    <w:p>
      <w:pPr>
        <w:pStyle w:val="ListParagraph"/>
        <w:numPr>
          <w:ilvl w:val="0"/>
          <w:numId w:val="2"/>
        </w:numPr>
        <w:spacing w:after="60" w:before="60"/>
      </w:pPr>
      <w:r>
        <w:rPr>
          <w:rFonts w:ascii="Arial" w:cs="Arial" w:eastAsia="Arial" w:hAnsi="Arial"/>
          <w:sz w:val="22"/>
          <w:szCs w:val="22"/>
        </w:rPr>
        <w:t xml:space="preserve">Open Path Intelligence → understand where you're going and how to get there</w:t>
      </w:r>
    </w:p>
    <w:p>
      <w:pPr>
        <w:spacing w:after="0" w:before="80"/>
      </w:pPr>
    </w:p>
    <w:p>
      <w:pPr>
        <w:spacing w:after="80" w:before="80"/>
      </w:pPr>
      <w:r>
        <w:rPr>
          <w:rFonts w:ascii="Arial" w:cs="Arial" w:eastAsia="Arial" w:hAnsi="Arial"/>
          <w:sz w:val="22"/>
          <w:szCs w:val="22"/>
        </w:rPr>
        <w:t xml:space="preserve">Each step makes the next one richer. A user who has completed all three sees path suggestions that are simultaneously skills-grounded, personality-compatible, and management-aware. That level of specificity is not available anywhere else.</w:t>
      </w:r>
    </w:p>
    <w:p>
      <w:pPr>
        <w:pBdr>
          <w:bottom w:val="single" w:color="CCCCCC" w:sz="4" w:space="1"/>
        </w:pBdr>
        <w:spacing w:after="160" w:before="160"/>
      </w:pPr>
    </w:p>
    <w:p>
      <w:pPr>
        <w:pStyle w:val="Heading1"/>
        <w:spacing w:after="120" w:before="360"/>
      </w:pPr>
      <w:r>
        <w:rPr>
          <w:rFonts w:ascii="Arial" w:cs="Arial" w:eastAsia="Arial" w:hAnsi="Arial"/>
          <w:b/>
          <w:bCs/>
          <w:color w:val="1A3A2A"/>
          <w:sz w:val="28"/>
          <w:szCs w:val="28"/>
        </w:rPr>
        <w:t xml:space="preserve">Open Questions for Product Review</w:t>
      </w:r>
    </w:p>
    <w:p>
      <w:pPr>
        <w:spacing w:after="80" w:before="80"/>
      </w:pPr>
      <w:r>
        <w:rPr>
          <w:rFonts w:ascii="Arial" w:cs="Arial" w:eastAsia="Arial" w:hAnsi="Arial"/>
          <w:sz w:val="22"/>
          <w:szCs w:val="22"/>
        </w:rPr>
        <w:t xml:space="preserve">The following decisions need product owner input before Path Intelligence can move into sprint planning.</w:t>
      </w:r>
    </w:p>
    <w:p>
      <w:pPr>
        <w:spacing w:after="0" w:before="80"/>
      </w:pPr>
    </w:p>
    <w:p>
      <w:pPr>
        <w:pStyle w:val="ListParagraph"/>
        <w:numPr>
          <w:ilvl w:val="0"/>
          <w:numId w:val="2"/>
        </w:numPr>
        <w:spacing w:after="60" w:before="60"/>
      </w:pPr>
      <w:r>
        <w:rPr>
          <w:rFonts w:ascii="Arial" w:cs="Arial" w:eastAsia="Arial" w:hAnsi="Arial"/>
          <w:sz w:val="22"/>
          <w:szCs w:val="22"/>
        </w:rPr>
        <w:t xml:space="preserve">Where does the target role data come from? Does Solverah maintain a curated role taxonomy (which requires ongoing data work), or does the user type a free-text role name that gets normalized? A taxonomy gives better gap analysis but is a meaningful data investment.</w:t>
      </w:r>
    </w:p>
    <w:p>
      <w:pPr>
        <w:pStyle w:val="ListParagraph"/>
        <w:numPr>
          <w:ilvl w:val="0"/>
          <w:numId w:val="2"/>
        </w:numPr>
        <w:spacing w:after="60" w:before="60"/>
      </w:pPr>
      <w:r>
        <w:rPr>
          <w:rFonts w:ascii="Arial" w:cs="Arial" w:eastAsia="Arial" w:hAnsi="Arial"/>
          <w:sz w:val="22"/>
          <w:szCs w:val="22"/>
        </w:rPr>
        <w:t xml:space="preserve">How should Path Intelligence behave for users who have not yet completed WorkPulse or ManagerMatch? Should it still work with reduced personalization, or should it gate behind hub completion to protect the quality of the recommendation?</w:t>
      </w:r>
    </w:p>
    <w:p>
      <w:pPr>
        <w:pStyle w:val="ListParagraph"/>
        <w:numPr>
          <w:ilvl w:val="0"/>
          <w:numId w:val="2"/>
        </w:numPr>
        <w:spacing w:after="60" w:before="60"/>
      </w:pPr>
      <w:r>
        <w:rPr>
          <w:rFonts w:ascii="Arial" w:cs="Arial" w:eastAsia="Arial" w:hAnsi="Arial"/>
          <w:sz w:val="22"/>
          <w:szCs w:val="22"/>
        </w:rPr>
        <w:t xml:space="preserve">What is the source of "what employers hire for" in the gap analysis? Does this come from Solverah's job posting database (zensearch data), or from a curated role requirements dataset the team maintains?</w:t>
      </w:r>
    </w:p>
    <w:p>
      <w:pPr>
        <w:pStyle w:val="ListParagraph"/>
        <w:numPr>
          <w:ilvl w:val="0"/>
          <w:numId w:val="2"/>
        </w:numPr>
        <w:spacing w:after="60" w:before="60"/>
      </w:pPr>
      <w:r>
        <w:rPr>
          <w:rFonts w:ascii="Arial" w:cs="Arial" w:eastAsia="Arial" w:hAnsi="Arial"/>
          <w:sz w:val="22"/>
          <w:szCs w:val="22"/>
        </w:rPr>
        <w:t xml:space="preserve">Should the gap analysis be rules-based (deterministic from skills overlap) or LLM-generated (richer narrative per gap)? The rules-based version is faster to ship; LLM allows for more nuanced, contextualized gap descriptions.</w:t>
      </w:r>
    </w:p>
    <w:p>
      <w:pPr>
        <w:pStyle w:val="ListParagraph"/>
        <w:numPr>
          <w:ilvl w:val="0"/>
          <w:numId w:val="2"/>
        </w:numPr>
        <w:spacing w:after="60" w:before="60"/>
      </w:pPr>
      <w:r>
        <w:rPr>
          <w:rFonts w:ascii="Arial" w:cs="Arial" w:eastAsia="Arial" w:hAnsi="Arial"/>
          <w:sz w:val="22"/>
          <w:szCs w:val="22"/>
        </w:rPr>
        <w:t xml:space="preserve">Is the Milestone Tracker a manual check-box system at launch, or should Solverah integrate with external signals (LinkedIn profile updates, new resume uploads) to auto-detect milestone completion in a later phase?</w:t>
      </w:r>
    </w:p>
    <w:p>
      <w:pPr>
        <w:pStyle w:val="ListParagraph"/>
        <w:numPr>
          <w:ilvl w:val="0"/>
          <w:numId w:val="2"/>
        </w:numPr>
        <w:spacing w:after="60" w:before="60"/>
      </w:pPr>
      <w:r>
        <w:rPr>
          <w:rFonts w:ascii="Arial" w:cs="Arial" w:eastAsia="Arial" w:hAnsi="Arial"/>
          <w:sz w:val="22"/>
          <w:szCs w:val="22"/>
        </w:rPr>
        <w:t xml:space="preserve">Should Path Intelligence be a free Intelligence Hub feature or a WorkPulse Pro premium feature? Given its reliance on Pro data (ManagerMatch results), a case can be made for either.</w:t>
      </w:r>
    </w:p>
    <w:p>
      <w:pPr>
        <w:pBdr>
          <w:bottom w:val="single" w:color="CCCCCC" w:sz="4" w:space="1"/>
        </w:pBdr>
        <w:spacing w:after="160" w:before="160"/>
      </w:pPr>
    </w:p>
    <w:p>
      <w:pPr>
        <w:pStyle w:val="Heading1"/>
        <w:spacing w:after="120" w:before="360"/>
      </w:pPr>
      <w:r>
        <w:rPr>
          <w:rFonts w:ascii="Arial" w:cs="Arial" w:eastAsia="Arial" w:hAnsi="Arial"/>
          <w:b/>
          <w:bCs/>
          <w:color w:val="1A3A2A"/>
          <w:sz w:val="28"/>
          <w:szCs w:val="28"/>
        </w:rPr>
        <w:t xml:space="preserve">Suggested Implementation Phases</w:t>
      </w:r>
    </w:p>
    <w:p>
      <w:pPr>
        <w:spacing w:after="80" w:before="80"/>
      </w:pPr>
      <w:r>
        <w:rPr>
          <w:rFonts w:ascii="Arial" w:cs="Arial" w:eastAsia="Arial" w:hAnsi="Arial"/>
          <w:sz w:val="22"/>
          <w:szCs w:val="22"/>
        </w:rPr>
        <w:t xml:space="preserve">Path Intelligence is a multi-sprint feature. Below is a suggested phasing to de-risk the build and deliver value incrementally.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200"/>
        <w:gridCol w:w="5720"/>
      </w:tblGrid>
      <w:tr>
        <w:trPr>
          <w:tblHeader/>
        </w:trPr>
        <w:tc>
          <w:tcPr>
            <w:tcW w:type="dxa" w:w="1440"/>
            <w:tcBorders>
              <w:top w:val="single" w:color="DDDDDD" w:sz="1"/>
              <w:left w:val="single" w:color="DDDDDD" w:sz="1"/>
              <w:bottom w:val="single" w:color="DDDDDD" w:sz="1"/>
              <w:right w:val="single" w:color="DDDDDD" w:sz="1"/>
            </w:tcBorders>
            <w:shd w:fill="1A3A2A" w:val="clear"/>
            <w:tcMar>
              <w:top w:type="dxa" w:w="100"/>
              <w:left w:type="dxa" w:w="160"/>
              <w:bottom w:type="dxa" w:w="100"/>
              <w:right w:type="dxa" w:w="160"/>
            </w:tcMar>
          </w:tcPr>
          <w:p>
            <w:r>
              <w:rPr>
                <w:rFonts w:ascii="Arial" w:cs="Arial" w:eastAsia="Arial" w:hAnsi="Arial"/>
                <w:b/>
                <w:bCs/>
                <w:color w:val="FFFFFF"/>
                <w:sz w:val="20"/>
                <w:szCs w:val="20"/>
              </w:rPr>
              <w:t xml:space="preserve">Phase</w:t>
            </w:r>
          </w:p>
        </w:tc>
        <w:tc>
          <w:tcPr>
            <w:tcW w:type="dxa" w:w="2200"/>
            <w:tcBorders>
              <w:top w:val="single" w:color="DDDDDD" w:sz="1"/>
              <w:left w:val="single" w:color="DDDDDD" w:sz="1"/>
              <w:bottom w:val="single" w:color="DDDDDD" w:sz="1"/>
              <w:right w:val="single" w:color="DDDDDD" w:sz="1"/>
            </w:tcBorders>
            <w:shd w:fill="1A3A2A" w:val="clear"/>
            <w:tcMar>
              <w:top w:type="dxa" w:w="100"/>
              <w:left w:type="dxa" w:w="160"/>
              <w:bottom w:type="dxa" w:w="100"/>
              <w:right w:type="dxa" w:w="160"/>
            </w:tcMar>
          </w:tcPr>
          <w:p>
            <w:r>
              <w:rPr>
                <w:rFonts w:ascii="Arial" w:cs="Arial" w:eastAsia="Arial" w:hAnsi="Arial"/>
                <w:b/>
                <w:bCs/>
                <w:color w:val="FFFFFF"/>
                <w:sz w:val="20"/>
                <w:szCs w:val="20"/>
              </w:rPr>
              <w:t xml:space="preserve">Sprint</w:t>
            </w:r>
          </w:p>
        </w:tc>
        <w:tc>
          <w:tcPr>
            <w:tcW w:type="dxa" w:w="5720"/>
            <w:tcBorders>
              <w:top w:val="single" w:color="DDDDDD" w:sz="1"/>
              <w:left w:val="single" w:color="DDDDDD" w:sz="1"/>
              <w:bottom w:val="single" w:color="DDDDDD" w:sz="1"/>
              <w:right w:val="single" w:color="DDDDDD" w:sz="1"/>
            </w:tcBorders>
            <w:shd w:fill="1A3A2A" w:val="clear"/>
            <w:tcMar>
              <w:top w:type="dxa" w:w="100"/>
              <w:left w:type="dxa" w:w="160"/>
              <w:bottom w:type="dxa" w:w="100"/>
              <w:right w:type="dxa" w:w="160"/>
            </w:tcMar>
          </w:tcPr>
          <w:p>
            <w:r>
              <w:rPr>
                <w:rFonts w:ascii="Arial" w:cs="Arial" w:eastAsia="Arial" w:hAnsi="Arial"/>
                <w:b/>
                <w:bCs/>
                <w:color w:val="FFFFFF"/>
                <w:sz w:val="20"/>
                <w:szCs w:val="20"/>
              </w:rPr>
              <w:t xml:space="preserve">Scope</w:t>
            </w:r>
          </w:p>
        </w:tc>
      </w:tr>
      <w:tr>
        <w:tc>
          <w:tcPr>
            <w:tcW w:type="dxa" w:w="14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sz w:val="20"/>
                <w:szCs w:val="20"/>
              </w:rPr>
              <w:t xml:space="preserve">1</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sz w:val="20"/>
                <w:szCs w:val="20"/>
              </w:rPr>
              <w:t xml:space="preserve">Sprint 8 or 9</w:t>
            </w:r>
          </w:p>
        </w:tc>
        <w:tc>
          <w:tcPr>
            <w:tcW w:type="dxa" w:w="57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sz w:val="20"/>
                <w:szCs w:val="20"/>
              </w:rPr>
              <w:t xml:space="preserve">Path Suggestions only. Solverah recommends 2–3 paths based on the user's full profile. No gap analysis yet. Validates the recommendation logic and gets the feature in front of users early.</w:t>
            </w:r>
          </w:p>
        </w:tc>
      </w:tr>
      <w:tr>
        <w:tc>
          <w:tcPr>
            <w:tcW w:type="dxa" w:w="144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sz w:val="20"/>
                <w:szCs w:val="20"/>
              </w:rPr>
              <w:t xml:space="preserve">2</w:t>
            </w:r>
          </w:p>
        </w:tc>
        <w:tc>
          <w:tcPr>
            <w:tcW w:type="dxa" w:w="22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sz w:val="20"/>
                <w:szCs w:val="20"/>
              </w:rPr>
              <w:t xml:space="preserve">Sprint 9 or 10</w:t>
            </w:r>
          </w:p>
        </w:tc>
        <w:tc>
          <w:tcPr>
            <w:tcW w:type="dxa" w:w="572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sz w:val="20"/>
                <w:szCs w:val="20"/>
              </w:rPr>
              <w:t xml:space="preserve">Skills Gap Roadmap. User selects a target role (from suggestions or manual entry). Gap analysis runs against their resume profile. Shows have / partial / missing breakdown with recommended actions.</w:t>
            </w:r>
          </w:p>
        </w:tc>
      </w:tr>
      <w:tr>
        <w:tc>
          <w:tcPr>
            <w:tcW w:type="dxa" w:w="14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sz w:val="20"/>
                <w:szCs w:val="20"/>
              </w:rPr>
              <w:t xml:space="preserve">3</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sz w:val="20"/>
                <w:szCs w:val="20"/>
              </w:rPr>
              <w:t xml:space="preserve">Sprint 10 or 11</w:t>
            </w:r>
          </w:p>
        </w:tc>
        <w:tc>
          <w:tcPr>
            <w:tcW w:type="dxa" w:w="57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sz w:val="20"/>
                <w:szCs w:val="20"/>
              </w:rPr>
              <w:t xml:space="preserve">Milestone Tracker. User can convert roadmap gaps into milestones and mark them complete. Gap analysis reflects completed milestones in real time.</w:t>
            </w:r>
          </w:p>
        </w:tc>
      </w:tr>
      <w:tr>
        <w:tc>
          <w:tcPr>
            <w:tcW w:type="dxa" w:w="144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sz w:val="20"/>
                <w:szCs w:val="20"/>
              </w:rPr>
              <w:t xml:space="preserve">4</w:t>
            </w:r>
          </w:p>
        </w:tc>
        <w:tc>
          <w:tcPr>
            <w:tcW w:type="dxa" w:w="22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sz w:val="20"/>
                <w:szCs w:val="20"/>
              </w:rPr>
              <w:t xml:space="preserve">Future</w:t>
            </w:r>
          </w:p>
        </w:tc>
        <w:tc>
          <w:tcPr>
            <w:tcW w:type="dxa" w:w="572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sz w:val="20"/>
                <w:szCs w:val="20"/>
              </w:rPr>
              <w:t xml:space="preserve">LLM narrative layer (richer gap descriptions), auto-milestone detection from resume re-uploads, recruiter-facing path visibility on candidate profiles.</w:t>
            </w:r>
          </w:p>
        </w:tc>
      </w:tr>
    </w:tbl>
    <w:p>
      <w:pPr>
        <w:spacing w:after="0" w:before="80"/>
      </w:pPr>
    </w:p>
    <w:p>
      <w:pPr>
        <w:spacing w:after="80" w:before="80"/>
      </w:pPr>
      <w:r>
        <w:rPr>
          <w:rFonts w:ascii="Arial" w:cs="Arial" w:eastAsia="Arial" w:hAnsi="Arial"/>
          <w:sz w:val="22"/>
          <w:szCs w:val="22"/>
        </w:rPr>
        <w:t xml:space="preserve">Phase 1 is intentionally narrow. It ships something meaningful without requiring the role taxonomy or gap analysis infrastructure to be fully built out. Each subsequent phase adds depth without requiring a rebuild of what came before.</w:t>
      </w:r>
    </w:p>
    <w:p>
      <w:pPr>
        <w:spacing w:after="0" w:before="24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360"/>
      </w:tabs>
    </w:pPr>
    <w:r>
      <w:rPr>
        <w:rFonts w:ascii="Arial" w:cs="Arial" w:eastAsia="Arial" w:hAnsi="Arial"/>
        <w:color w:val="888888"/>
        <w:sz w:val="18"/>
        <w:szCs w:val="18"/>
      </w:rPr>
      <w:t xml:space="preserve">Solverah — Intelligence Hub</w:t>
    </w:r>
    <w:r>
      <w:rPr>
        <w:rFonts w:ascii="Arial" w:cs="Arial" w:eastAsia="Arial" w:hAnsi="Arial"/>
        <w:color w:val="888888"/>
        <w:sz w:val="18"/>
        <w:szCs w:val="18"/>
      </w:rPr>
      <w:t xml:space="preserve">		Path Intelligence — Product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2026-06-09T19:34:16.818Z</dcterms:created>
  <dcterms:modified xsi:type="dcterms:W3CDTF">2026-06-09T19:34:16.819Z</dcterms:modified>
</cp:coreProperties>
</file>

<file path=docProps/custom.xml><?xml version="1.0" encoding="utf-8"?>
<Properties xmlns="http://schemas.openxmlformats.org/officeDocument/2006/custom-properties" xmlns:vt="http://schemas.openxmlformats.org/officeDocument/2006/docPropsVTypes"/>
</file>