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40"/>
      </w:pPr>
    </w:p>
    <w:p>
      <w:pPr>
        <w:spacing w:after="80" w:before="0"/>
      </w:pPr>
      <w:r>
        <w:rPr>
          <w:rFonts w:ascii="Arial" w:cs="Arial" w:eastAsia="Arial" w:hAnsi="Arial"/>
          <w:b/>
          <w:bCs/>
          <w:color w:val="1A3A2A"/>
          <w:sz w:val="56"/>
          <w:szCs w:val="56"/>
        </w:rPr>
        <w:t xml:space="preserve">WorkPulse Scoring Reference</w:t>
      </w:r>
    </w:p>
    <w:p>
      <w:pPr>
        <w:spacing w:after="80" w:before="0"/>
      </w:pPr>
      <w:r>
        <w:rPr>
          <w:rFonts w:ascii="Arial" w:cs="Arial" w:eastAsia="Arial" w:hAnsi="Arial"/>
          <w:color w:val="2D5A3D"/>
          <w:sz w:val="28"/>
          <w:szCs w:val="28"/>
        </w:rPr>
        <w:t xml:space="preserve">How the 12-question quiz produces dimension scores</w:t>
      </w:r>
    </w:p>
    <w:p>
      <w:pPr>
        <w:spacing w:after="0" w:before="0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Prepared for product review — June 2026</w:t>
      </w:r>
    </w:p>
    <w:p>
      <w:pPr>
        <w:pBdr>
          <w:bottom w:val="single" w:color="CCCCCC" w:sz="4" w:space="1"/>
        </w:pBdr>
        <w:spacing w:after="160" w:before="16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3A2A"/>
          <w:sz w:val="28"/>
          <w:szCs w:val="28"/>
        </w:rPr>
        <w:t xml:space="preserve">Overview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WorkPulse 12-question quiz scores users across 7 personality and work-style dimensions. Each dimension is calculated by averaging the scores assigned to the user's answers on 2 or 3 relevant questions. All dimension scores are on a 0.0–1.0 scale.</w:t>
      </w:r>
    </w:p>
    <w:p>
      <w:pPr>
        <w:spacing w:after="0" w:before="80"/>
      </w:pP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scoring is fully deterministic — there is no randomness or LLM involvement in producing the dimension scores. Every answer has a fixed value, and the dimension score is a simple average of those values.</w:t>
      </w:r>
    </w:p>
    <w:p>
      <w:pPr>
        <w:pBdr>
          <w:bottom w:val="single" w:color="CCCCCC" w:sz="4" w:space="1"/>
        </w:pBdr>
        <w:spacing w:after="160" w:before="16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3A2A"/>
          <w:sz w:val="28"/>
          <w:szCs w:val="28"/>
        </w:rPr>
        <w:t xml:space="preserve">The 7 Dimensions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table below summarises all 7 dimensions: which questions feed them, how many inputs they use, and what the score range means at each end.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700"/>
        <w:gridCol w:w="700"/>
        <w:gridCol w:w="5260"/>
      </w:tblGrid>
      <w:tr>
        <w:trPr>
          <w:tblHeader/>
        </w:trPr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A2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Dimension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A2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Questions used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A2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# inputs</w:t>
            </w:r>
          </w:p>
        </w:tc>
        <w:tc>
          <w:tcPr>
            <w:tcW w:type="dxa" w:w="5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A2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Score range interpretation</w:t>
            </w:r>
          </w:p>
        </w:tc>
      </w:tr>
      <w:tr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4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Pace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wp-q2, wp-q5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5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Low (0.10) → prefers a slow, deliberate environment. High (0.85) → thrives in fast-moving, high-urgency settings.</w:t>
            </w:r>
          </w:p>
        </w:tc>
      </w:tr>
      <w:tr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A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Empathy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wp-q4, wp-q2, wp-q9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5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Low (0.40) → task-first, results-driven. High (0.90) → people-first, relationship-driven.</w:t>
            </w:r>
          </w:p>
        </w:tc>
      </w:tr>
      <w:tr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4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Adaptability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wp-q1, wp-q9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5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Low (0.20) → prefers structure and predictability. High (0.80) → comfortable with ambiguity and rapid change.</w:t>
            </w:r>
          </w:p>
        </w:tc>
      </w:tr>
      <w:tr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A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Harmony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wp-q8, wp-q4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5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Low (0.35) → high-energy, competitive environments. High (0.75) → collaborative, low-conflict preference.</w:t>
            </w:r>
          </w:p>
        </w:tc>
      </w:tr>
      <w:tr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4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Data Orientation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wp-q5, wp-q10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5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Low (0.55) → instinct-led, qualitative. High (0.85) → analytical, metrics-driven.</w:t>
            </w:r>
          </w:p>
        </w:tc>
      </w:tr>
      <w:tr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A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Creative Drive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wp-q11, wp-q12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5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Low (0.55) → process and execution preference. High (0.85) → innovation appetite, idea-generating.</w:t>
            </w:r>
          </w:p>
        </w:tc>
      </w:tr>
      <w:tr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4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Futuristic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wp-q11, wp-q12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5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Low (0.55) → execution-focused, present-oriented. High (0.88) → vision-oriented, long-term thinking.</w:t>
            </w:r>
          </w:p>
        </w:tc>
      </w:tr>
    </w:tbl>
    <w:p>
      <w:pPr>
        <w:spacing w:after="0" w:before="80"/>
      </w:pPr>
    </w:p>
    <w:p>
      <w:pPr>
        <w:spacing w:after="80" w:before="80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Note: Questions WP-Q3, WP-Q6, and WP-Q7 are not mapped to any scored dimension in the current implementation. They may be used for routing, display, or future scoring additions.</w:t>
      </w:r>
    </w:p>
    <w:p>
      <w:pPr>
        <w:pBdr>
          <w:bottom w:val="single" w:color="CCCCCC" w:sz="4" w:space="1"/>
        </w:pBdr>
        <w:spacing w:after="160" w:before="16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3A2A"/>
          <w:sz w:val="28"/>
          <w:szCs w:val="28"/>
        </w:rPr>
        <w:t xml:space="preserve">Question → Dimension Map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Each question in the quiz feeds one or two dimensions. Questions that feed two dimensions are answered once but their score is applied independently to each dimension.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rPr>
          <w:tblHeader/>
        </w:trP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A2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Question</w:t>
            </w:r>
          </w:p>
        </w:tc>
        <w:tc>
          <w:tcPr>
            <w:tcW w:type="dxa" w:w="7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A2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Contributes to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4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WP-Q1</w:t>
            </w:r>
          </w:p>
        </w:tc>
        <w:tc>
          <w:tcPr>
            <w:tcW w:type="dxa" w:w="7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Adaptability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A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WP-Q2</w:t>
            </w:r>
          </w:p>
        </w:tc>
        <w:tc>
          <w:tcPr>
            <w:tcW w:type="dxa" w:w="7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Pace, Empathy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4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WP-Q3</w:t>
            </w:r>
          </w:p>
        </w:tc>
        <w:tc>
          <w:tcPr>
            <w:tcW w:type="dxa" w:w="7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Not mapped to a scored dimension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A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WP-Q4</w:t>
            </w:r>
          </w:p>
        </w:tc>
        <w:tc>
          <w:tcPr>
            <w:tcW w:type="dxa" w:w="7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Empathy, Harmony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4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WP-Q5</w:t>
            </w:r>
          </w:p>
        </w:tc>
        <w:tc>
          <w:tcPr>
            <w:tcW w:type="dxa" w:w="7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Pace, Data Orientation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A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WP-Q6</w:t>
            </w:r>
          </w:p>
        </w:tc>
        <w:tc>
          <w:tcPr>
            <w:tcW w:type="dxa" w:w="7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Not mapped to a scored dimension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4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WP-Q7</w:t>
            </w:r>
          </w:p>
        </w:tc>
        <w:tc>
          <w:tcPr>
            <w:tcW w:type="dxa" w:w="7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Not mapped to a scored dimension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A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WP-Q8</w:t>
            </w:r>
          </w:p>
        </w:tc>
        <w:tc>
          <w:tcPr>
            <w:tcW w:type="dxa" w:w="7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Harmony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4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WP-Q9</w:t>
            </w:r>
          </w:p>
        </w:tc>
        <w:tc>
          <w:tcPr>
            <w:tcW w:type="dxa" w:w="7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Empathy, Adaptability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A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WP-Q10</w:t>
            </w:r>
          </w:p>
        </w:tc>
        <w:tc>
          <w:tcPr>
            <w:tcW w:type="dxa" w:w="7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Data Orientation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4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WP-Q11</w:t>
            </w:r>
          </w:p>
        </w:tc>
        <w:tc>
          <w:tcPr>
            <w:tcW w:type="dxa" w:w="7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Creative Drive, Futuristic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A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WP-Q12</w:t>
            </w:r>
          </w:p>
        </w:tc>
        <w:tc>
          <w:tcPr>
            <w:tcW w:type="dxa" w:w="7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Creative Drive, Futuristic</w:t>
            </w:r>
          </w:p>
        </w:tc>
      </w:tr>
    </w:tbl>
    <w:p>
      <w:pPr>
        <w:spacing w:after="0" w:before="80"/>
      </w:pP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Four questions feed two dimensions simultaneously:</w:t>
      </w:r>
    </w:p>
    <w:p>
      <w:pPr>
        <w:spacing w:after="0" w:before="6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WP-Q2 feeds both Pace and Empathy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WP-Q4 feeds both Empathy and Harmony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WP-Q5 feeds both Pace and Data Orientation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WP-Q9 feeds both Empathy and Adaptability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WP-Q11 feeds both Creative Drive and Futuristic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WP-Q12 feeds both Creative Drive and Futuristic</w:t>
      </w:r>
    </w:p>
    <w:p>
      <w:pPr>
        <w:pBdr>
          <w:bottom w:val="single" w:color="CCCCCC" w:sz="4" w:space="1"/>
        </w:pBdr>
        <w:spacing w:after="160" w:before="16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3A2A"/>
          <w:sz w:val="28"/>
          <w:szCs w:val="28"/>
        </w:rPr>
        <w:t xml:space="preserve">Score Matrices by Dimension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Each table below shows the exact score value assigned to each answer option (A–D) for each question in that dimension. Cell colour indicates whether the answer pushes the user toward a high, mid, or low reading on that dimension.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4EDD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≥ 0.75  High score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9C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0.55 – 0.74  Mid score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ECE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&lt; 0.55  Low score</w:t>
            </w:r>
          </w:p>
        </w:tc>
      </w:tr>
    </w:tbl>
    <w:p>
      <w:pPr>
        <w:spacing w:after="0" w:before="16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D5A3D"/>
          <w:sz w:val="24"/>
          <w:szCs w:val="24"/>
        </w:rPr>
        <w:t xml:space="preserve">Pace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Higher score = faster pace preference. Lower score = preference for slower, more deliberate environments.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990"/>
        <w:gridCol w:w="1990"/>
        <w:gridCol w:w="1990"/>
        <w:gridCol w:w="1990"/>
      </w:tblGrid>
      <w:tr>
        <w:trPr>
          <w:tblHeader/>
        </w:trP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A2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Question</w:t>
            </w:r>
          </w:p>
        </w:tc>
        <w:tc>
          <w:tcPr>
            <w:tcW w:type="dxa" w:w="199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A2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Answer A</w:t>
            </w:r>
          </w:p>
        </w:tc>
        <w:tc>
          <w:tcPr>
            <w:tcW w:type="dxa" w:w="199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A2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Answer B</w:t>
            </w:r>
          </w:p>
        </w:tc>
        <w:tc>
          <w:tcPr>
            <w:tcW w:type="dxa" w:w="199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A2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Answer C</w:t>
            </w:r>
          </w:p>
        </w:tc>
        <w:tc>
          <w:tcPr>
            <w:tcW w:type="dxa" w:w="199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A2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Answer D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4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WP-Q2</w:t>
            </w:r>
          </w:p>
        </w:tc>
        <w:tc>
          <w:tcPr>
            <w:tcW w:type="dxa" w:w="199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4EDD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0.85</w:t>
            </w:r>
          </w:p>
        </w:tc>
        <w:tc>
          <w:tcPr>
            <w:tcW w:type="dxa" w:w="199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9C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0.55</w:t>
            </w:r>
          </w:p>
        </w:tc>
        <w:tc>
          <w:tcPr>
            <w:tcW w:type="dxa" w:w="199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ECE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0.30</w:t>
            </w:r>
          </w:p>
        </w:tc>
        <w:tc>
          <w:tcPr>
            <w:tcW w:type="dxa" w:w="199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ECE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0.10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A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WP-Q5</w:t>
            </w:r>
          </w:p>
        </w:tc>
        <w:tc>
          <w:tcPr>
            <w:tcW w:type="dxa" w:w="199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4EDD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0.75</w:t>
            </w:r>
          </w:p>
        </w:tc>
        <w:tc>
          <w:tcPr>
            <w:tcW w:type="dxa" w:w="199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9C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0.55</w:t>
            </w:r>
          </w:p>
        </w:tc>
        <w:tc>
          <w:tcPr>
            <w:tcW w:type="dxa" w:w="199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ECE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0.30</w:t>
            </w:r>
          </w:p>
        </w:tc>
        <w:tc>
          <w:tcPr>
            <w:tcW w:type="dxa" w:w="199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ECE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0.10</w:t>
            </w:r>
          </w:p>
        </w:tc>
      </w:tr>
    </w:tbl>
    <w:p>
      <w:pPr>
        <w:spacing w:after="0" w:before="16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D5A3D"/>
          <w:sz w:val="24"/>
          <w:szCs w:val="24"/>
        </w:rPr>
        <w:t xml:space="preserve">Empathy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Higher score = people-first, relationship-driven. Lower score = task-first, results-driven. Uses three questions — the final score is the average of all three inputs.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990"/>
        <w:gridCol w:w="1990"/>
        <w:gridCol w:w="1990"/>
        <w:gridCol w:w="1990"/>
      </w:tblGrid>
      <w:tr>
        <w:trPr>
          <w:tblHeader/>
        </w:trP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A2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Question</w:t>
            </w:r>
          </w:p>
        </w:tc>
        <w:tc>
          <w:tcPr>
            <w:tcW w:type="dxa" w:w="199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A2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Answer A</w:t>
            </w:r>
          </w:p>
        </w:tc>
        <w:tc>
          <w:tcPr>
            <w:tcW w:type="dxa" w:w="199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A2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Answer B</w:t>
            </w:r>
          </w:p>
        </w:tc>
        <w:tc>
          <w:tcPr>
            <w:tcW w:type="dxa" w:w="199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A2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Answer C</w:t>
            </w:r>
          </w:p>
        </w:tc>
        <w:tc>
          <w:tcPr>
            <w:tcW w:type="dxa" w:w="199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A2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Answer D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4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WP-Q4</w:t>
            </w:r>
          </w:p>
        </w:tc>
        <w:tc>
          <w:tcPr>
            <w:tcW w:type="dxa" w:w="199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ECE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0.40</w:t>
            </w:r>
          </w:p>
        </w:tc>
        <w:tc>
          <w:tcPr>
            <w:tcW w:type="dxa" w:w="199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9C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0.55</w:t>
            </w:r>
          </w:p>
        </w:tc>
        <w:tc>
          <w:tcPr>
            <w:tcW w:type="dxa" w:w="199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4EDD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0.75</w:t>
            </w:r>
          </w:p>
        </w:tc>
        <w:tc>
          <w:tcPr>
            <w:tcW w:type="dxa" w:w="199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4EDD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0.90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A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WP-Q2</w:t>
            </w:r>
          </w:p>
        </w:tc>
        <w:tc>
          <w:tcPr>
            <w:tcW w:type="dxa" w:w="199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ECE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0.40</w:t>
            </w:r>
          </w:p>
        </w:tc>
        <w:tc>
          <w:tcPr>
            <w:tcW w:type="dxa" w:w="199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ECE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0.50</w:t>
            </w:r>
          </w:p>
        </w:tc>
        <w:tc>
          <w:tcPr>
            <w:tcW w:type="dxa" w:w="199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9C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0.65</w:t>
            </w:r>
          </w:p>
        </w:tc>
        <w:tc>
          <w:tcPr>
            <w:tcW w:type="dxa" w:w="199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4EDD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0.80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4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WP-Q9</w:t>
            </w:r>
          </w:p>
        </w:tc>
        <w:tc>
          <w:tcPr>
            <w:tcW w:type="dxa" w:w="199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ECE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0.45</w:t>
            </w:r>
          </w:p>
        </w:tc>
        <w:tc>
          <w:tcPr>
            <w:tcW w:type="dxa" w:w="199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ECE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0.50</w:t>
            </w:r>
          </w:p>
        </w:tc>
        <w:tc>
          <w:tcPr>
            <w:tcW w:type="dxa" w:w="199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ECE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0.45</w:t>
            </w:r>
          </w:p>
        </w:tc>
        <w:tc>
          <w:tcPr>
            <w:tcW w:type="dxa" w:w="199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9C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0.70</w:t>
            </w:r>
          </w:p>
        </w:tc>
      </w:tr>
    </w:tbl>
    <w:p>
      <w:pPr>
        <w:spacing w:after="0" w:before="16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D5A3D"/>
          <w:sz w:val="24"/>
          <w:szCs w:val="24"/>
        </w:rPr>
        <w:t xml:space="preserve">Adaptability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Higher score = comfortable with ambiguity and change. Lower score = preference for structure and predictability.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990"/>
        <w:gridCol w:w="1990"/>
        <w:gridCol w:w="1990"/>
        <w:gridCol w:w="1990"/>
      </w:tblGrid>
      <w:tr>
        <w:trPr>
          <w:tblHeader/>
        </w:trP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A2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Question</w:t>
            </w:r>
          </w:p>
        </w:tc>
        <w:tc>
          <w:tcPr>
            <w:tcW w:type="dxa" w:w="199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A2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Answer A</w:t>
            </w:r>
          </w:p>
        </w:tc>
        <w:tc>
          <w:tcPr>
            <w:tcW w:type="dxa" w:w="199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A2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Answer B</w:t>
            </w:r>
          </w:p>
        </w:tc>
        <w:tc>
          <w:tcPr>
            <w:tcW w:type="dxa" w:w="199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A2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Answer C</w:t>
            </w:r>
          </w:p>
        </w:tc>
        <w:tc>
          <w:tcPr>
            <w:tcW w:type="dxa" w:w="199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A2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Answer D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4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WP-Q1</w:t>
            </w:r>
          </w:p>
        </w:tc>
        <w:tc>
          <w:tcPr>
            <w:tcW w:type="dxa" w:w="199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4EDD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0.80</w:t>
            </w:r>
          </w:p>
        </w:tc>
        <w:tc>
          <w:tcPr>
            <w:tcW w:type="dxa" w:w="199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9C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0.55</w:t>
            </w:r>
          </w:p>
        </w:tc>
        <w:tc>
          <w:tcPr>
            <w:tcW w:type="dxa" w:w="199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ECE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0.35</w:t>
            </w:r>
          </w:p>
        </w:tc>
        <w:tc>
          <w:tcPr>
            <w:tcW w:type="dxa" w:w="199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ECE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0.20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A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WP-Q9</w:t>
            </w:r>
          </w:p>
        </w:tc>
        <w:tc>
          <w:tcPr>
            <w:tcW w:type="dxa" w:w="199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4EDD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0.80</w:t>
            </w:r>
          </w:p>
        </w:tc>
        <w:tc>
          <w:tcPr>
            <w:tcW w:type="dxa" w:w="199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9C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0.65</w:t>
            </w:r>
          </w:p>
        </w:tc>
        <w:tc>
          <w:tcPr>
            <w:tcW w:type="dxa" w:w="199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ECE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0.50</w:t>
            </w:r>
          </w:p>
        </w:tc>
        <w:tc>
          <w:tcPr>
            <w:tcW w:type="dxa" w:w="199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ECE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0.40</w:t>
            </w:r>
          </w:p>
        </w:tc>
      </w:tr>
    </w:tbl>
    <w:p>
      <w:pPr>
        <w:spacing w:after="0" w:before="16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D5A3D"/>
          <w:sz w:val="24"/>
          <w:szCs w:val="24"/>
        </w:rPr>
        <w:t xml:space="preserve">Harmony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Higher score = collaborative, low-conflict preference. Lower score = comfortable in competitive, high-energy environments.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990"/>
        <w:gridCol w:w="1990"/>
        <w:gridCol w:w="1990"/>
        <w:gridCol w:w="1990"/>
      </w:tblGrid>
      <w:tr>
        <w:trPr>
          <w:tblHeader/>
        </w:trP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A2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Question</w:t>
            </w:r>
          </w:p>
        </w:tc>
        <w:tc>
          <w:tcPr>
            <w:tcW w:type="dxa" w:w="199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A2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Answer A</w:t>
            </w:r>
          </w:p>
        </w:tc>
        <w:tc>
          <w:tcPr>
            <w:tcW w:type="dxa" w:w="199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A2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Answer B</w:t>
            </w:r>
          </w:p>
        </w:tc>
        <w:tc>
          <w:tcPr>
            <w:tcW w:type="dxa" w:w="199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A2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Answer C</w:t>
            </w:r>
          </w:p>
        </w:tc>
        <w:tc>
          <w:tcPr>
            <w:tcW w:type="dxa" w:w="199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A2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Answer D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4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WP-Q8</w:t>
            </w:r>
          </w:p>
        </w:tc>
        <w:tc>
          <w:tcPr>
            <w:tcW w:type="dxa" w:w="199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ECE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0.35</w:t>
            </w:r>
          </w:p>
        </w:tc>
        <w:tc>
          <w:tcPr>
            <w:tcW w:type="dxa" w:w="199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9C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0.70</w:t>
            </w:r>
          </w:p>
        </w:tc>
        <w:tc>
          <w:tcPr>
            <w:tcW w:type="dxa" w:w="199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ECE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0.50</w:t>
            </w:r>
          </w:p>
        </w:tc>
        <w:tc>
          <w:tcPr>
            <w:tcW w:type="dxa" w:w="199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4EDD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0.75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A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WP-Q4</w:t>
            </w:r>
          </w:p>
        </w:tc>
        <w:tc>
          <w:tcPr>
            <w:tcW w:type="dxa" w:w="199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ECE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0.40</w:t>
            </w:r>
          </w:p>
        </w:tc>
        <w:tc>
          <w:tcPr>
            <w:tcW w:type="dxa" w:w="199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ECE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0.50</w:t>
            </w:r>
          </w:p>
        </w:tc>
        <w:tc>
          <w:tcPr>
            <w:tcW w:type="dxa" w:w="199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9C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0.65</w:t>
            </w:r>
          </w:p>
        </w:tc>
        <w:tc>
          <w:tcPr>
            <w:tcW w:type="dxa" w:w="199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4EDD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0.75</w:t>
            </w:r>
          </w:p>
        </w:tc>
      </w:tr>
    </w:tbl>
    <w:p>
      <w:pPr>
        <w:spacing w:after="0" w:before="16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D5A3D"/>
          <w:sz w:val="24"/>
          <w:szCs w:val="24"/>
        </w:rPr>
        <w:t xml:space="preserve">Data Orientation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Higher score = analytical, metrics-driven. Lower score = instinct-led, qualitative. Note: this is the dimension with the narrowest range (0.55–0.85) — no answer gives a very low data orientation reading.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990"/>
        <w:gridCol w:w="1990"/>
        <w:gridCol w:w="1990"/>
        <w:gridCol w:w="1990"/>
      </w:tblGrid>
      <w:tr>
        <w:trPr>
          <w:tblHeader/>
        </w:trP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A2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Question</w:t>
            </w:r>
          </w:p>
        </w:tc>
        <w:tc>
          <w:tcPr>
            <w:tcW w:type="dxa" w:w="199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A2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Answer A</w:t>
            </w:r>
          </w:p>
        </w:tc>
        <w:tc>
          <w:tcPr>
            <w:tcW w:type="dxa" w:w="199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A2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Answer B</w:t>
            </w:r>
          </w:p>
        </w:tc>
        <w:tc>
          <w:tcPr>
            <w:tcW w:type="dxa" w:w="199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A2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Answer C</w:t>
            </w:r>
          </w:p>
        </w:tc>
        <w:tc>
          <w:tcPr>
            <w:tcW w:type="dxa" w:w="199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A2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Answer D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4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WP-Q5</w:t>
            </w:r>
          </w:p>
        </w:tc>
        <w:tc>
          <w:tcPr>
            <w:tcW w:type="dxa" w:w="199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9C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0.60</w:t>
            </w:r>
          </w:p>
        </w:tc>
        <w:tc>
          <w:tcPr>
            <w:tcW w:type="dxa" w:w="199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9C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0.65</w:t>
            </w:r>
          </w:p>
        </w:tc>
        <w:tc>
          <w:tcPr>
            <w:tcW w:type="dxa" w:w="199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4EDD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0.80</w:t>
            </w:r>
          </w:p>
        </w:tc>
        <w:tc>
          <w:tcPr>
            <w:tcW w:type="dxa" w:w="199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4EDD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0.85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A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WP-Q10</w:t>
            </w:r>
          </w:p>
        </w:tc>
        <w:tc>
          <w:tcPr>
            <w:tcW w:type="dxa" w:w="199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9C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0.55</w:t>
            </w:r>
          </w:p>
        </w:tc>
        <w:tc>
          <w:tcPr>
            <w:tcW w:type="dxa" w:w="199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9C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0.60</w:t>
            </w:r>
          </w:p>
        </w:tc>
        <w:tc>
          <w:tcPr>
            <w:tcW w:type="dxa" w:w="199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4EDD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0.75</w:t>
            </w:r>
          </w:p>
        </w:tc>
        <w:tc>
          <w:tcPr>
            <w:tcW w:type="dxa" w:w="199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4EDD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0.80</w:t>
            </w:r>
          </w:p>
        </w:tc>
      </w:tr>
    </w:tbl>
    <w:p>
      <w:pPr>
        <w:spacing w:after="0" w:before="16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D5A3D"/>
          <w:sz w:val="24"/>
          <w:szCs w:val="24"/>
        </w:rPr>
        <w:t xml:space="preserve">Creative Drive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Higher score = innovation appetite, idea-generating. Lower score = process and execution preference.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990"/>
        <w:gridCol w:w="1990"/>
        <w:gridCol w:w="1990"/>
        <w:gridCol w:w="1990"/>
      </w:tblGrid>
      <w:tr>
        <w:trPr>
          <w:tblHeader/>
        </w:trP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A2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Question</w:t>
            </w:r>
          </w:p>
        </w:tc>
        <w:tc>
          <w:tcPr>
            <w:tcW w:type="dxa" w:w="199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A2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Answer A</w:t>
            </w:r>
          </w:p>
        </w:tc>
        <w:tc>
          <w:tcPr>
            <w:tcW w:type="dxa" w:w="199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A2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Answer B</w:t>
            </w:r>
          </w:p>
        </w:tc>
        <w:tc>
          <w:tcPr>
            <w:tcW w:type="dxa" w:w="199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A2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Answer C</w:t>
            </w:r>
          </w:p>
        </w:tc>
        <w:tc>
          <w:tcPr>
            <w:tcW w:type="dxa" w:w="199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A2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Answer D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4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WP-Q11</w:t>
            </w:r>
          </w:p>
        </w:tc>
        <w:tc>
          <w:tcPr>
            <w:tcW w:type="dxa" w:w="199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9C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0.60</w:t>
            </w:r>
          </w:p>
        </w:tc>
        <w:tc>
          <w:tcPr>
            <w:tcW w:type="dxa" w:w="199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9C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0.65</w:t>
            </w:r>
          </w:p>
        </w:tc>
        <w:tc>
          <w:tcPr>
            <w:tcW w:type="dxa" w:w="199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4EDD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0.78</w:t>
            </w:r>
          </w:p>
        </w:tc>
        <w:tc>
          <w:tcPr>
            <w:tcW w:type="dxa" w:w="199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4EDD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0.85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A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WP-Q12</w:t>
            </w:r>
          </w:p>
        </w:tc>
        <w:tc>
          <w:tcPr>
            <w:tcW w:type="dxa" w:w="199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9C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0.55</w:t>
            </w:r>
          </w:p>
        </w:tc>
        <w:tc>
          <w:tcPr>
            <w:tcW w:type="dxa" w:w="199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9C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0.65</w:t>
            </w:r>
          </w:p>
        </w:tc>
        <w:tc>
          <w:tcPr>
            <w:tcW w:type="dxa" w:w="199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4EDD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0.80</w:t>
            </w:r>
          </w:p>
        </w:tc>
        <w:tc>
          <w:tcPr>
            <w:tcW w:type="dxa" w:w="199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4EDD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0.85</w:t>
            </w:r>
          </w:p>
        </w:tc>
      </w:tr>
    </w:tbl>
    <w:p>
      <w:pPr>
        <w:spacing w:after="0" w:before="16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D5A3D"/>
          <w:sz w:val="24"/>
          <w:szCs w:val="24"/>
        </w:rPr>
        <w:t xml:space="preserve">Futuristic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Higher score = vision-oriented, long-term thinking. Lower score = execution-focused, present-oriented. Note: Futuristic and Creative Drive share the same two questions (WP-Q11 and WP-Q12) but with slightly different score assignments — the dimensions are correlated but distinct.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990"/>
        <w:gridCol w:w="1990"/>
        <w:gridCol w:w="1990"/>
        <w:gridCol w:w="1990"/>
      </w:tblGrid>
      <w:tr>
        <w:trPr>
          <w:tblHeader/>
        </w:trP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A2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Question</w:t>
            </w:r>
          </w:p>
        </w:tc>
        <w:tc>
          <w:tcPr>
            <w:tcW w:type="dxa" w:w="199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A2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Answer A</w:t>
            </w:r>
          </w:p>
        </w:tc>
        <w:tc>
          <w:tcPr>
            <w:tcW w:type="dxa" w:w="199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A2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Answer B</w:t>
            </w:r>
          </w:p>
        </w:tc>
        <w:tc>
          <w:tcPr>
            <w:tcW w:type="dxa" w:w="199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A2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Answer C</w:t>
            </w:r>
          </w:p>
        </w:tc>
        <w:tc>
          <w:tcPr>
            <w:tcW w:type="dxa" w:w="199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A2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Answer D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4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WP-Q12</w:t>
            </w:r>
          </w:p>
        </w:tc>
        <w:tc>
          <w:tcPr>
            <w:tcW w:type="dxa" w:w="199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9C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0.55</w:t>
            </w:r>
          </w:p>
        </w:tc>
        <w:tc>
          <w:tcPr>
            <w:tcW w:type="dxa" w:w="199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9C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0.68</w:t>
            </w:r>
          </w:p>
        </w:tc>
        <w:tc>
          <w:tcPr>
            <w:tcW w:type="dxa" w:w="199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4EDD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0.82</w:t>
            </w:r>
          </w:p>
        </w:tc>
        <w:tc>
          <w:tcPr>
            <w:tcW w:type="dxa" w:w="199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4EDD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0.88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A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WP-Q11</w:t>
            </w:r>
          </w:p>
        </w:tc>
        <w:tc>
          <w:tcPr>
            <w:tcW w:type="dxa" w:w="199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9C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0.55</w:t>
            </w:r>
          </w:p>
        </w:tc>
        <w:tc>
          <w:tcPr>
            <w:tcW w:type="dxa" w:w="199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9C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0.65</w:t>
            </w:r>
          </w:p>
        </w:tc>
        <w:tc>
          <w:tcPr>
            <w:tcW w:type="dxa" w:w="199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4EDD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0.75</w:t>
            </w:r>
          </w:p>
        </w:tc>
        <w:tc>
          <w:tcPr>
            <w:tcW w:type="dxa" w:w="199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4EDD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0.85</w:t>
            </w:r>
          </w:p>
        </w:tc>
      </w:tr>
    </w:tbl>
    <w:p>
      <w:pPr>
        <w:pBdr>
          <w:bottom w:val="single" w:color="CCCCCC" w:sz="4" w:space="1"/>
        </w:pBdr>
        <w:spacing w:after="160" w:before="16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3A2A"/>
          <w:sz w:val="28"/>
          <w:szCs w:val="28"/>
        </w:rPr>
        <w:t xml:space="preserve">Worked Example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table below shows a complete scoring walkthrough for a sample user with the following answers:</w:t>
      </w:r>
    </w:p>
    <w:p>
      <w:pPr>
        <w:spacing w:after="0" w:before="6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Q1 = A,  Q2 = B,  Q4 = C,  Q5 = 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Q8 = B,  Q9 = A,  Q10 = C,  Q11 = D,  Q12 = C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2760"/>
        <w:gridCol w:w="2500"/>
        <w:gridCol w:w="1000"/>
        <w:gridCol w:w="1400"/>
      </w:tblGrid>
      <w:tr>
        <w:trPr>
          <w:tblHeader/>
        </w:trPr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A2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Dimension</w:t>
            </w:r>
          </w:p>
        </w:tc>
        <w:tc>
          <w:tcPr>
            <w:tcW w:type="dxa" w:w="2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A2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Inputs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A2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Calculation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A2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Score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A2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Band</w:t>
            </w:r>
          </w:p>
        </w:tc>
      </w:tr>
      <w:tr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4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Pace</w:t>
            </w:r>
          </w:p>
        </w:tc>
        <w:tc>
          <w:tcPr>
            <w:tcW w:type="dxa" w:w="2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Q2=B (0.55), Q5=A (0.60)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( 0.55 + 0.60 ) ÷ 2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9C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0.575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9C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Mid</w:t>
            </w:r>
          </w:p>
        </w:tc>
      </w:tr>
      <w:tr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A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Empathy</w:t>
            </w:r>
          </w:p>
        </w:tc>
        <w:tc>
          <w:tcPr>
            <w:tcW w:type="dxa" w:w="2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Q4=C (0.75), Q2=B (0.50), Q9=A (0.45)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( 0.75 + 0.50 + 0.45 ) ÷ 3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9C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0.567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9C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Mid</w:t>
            </w:r>
          </w:p>
        </w:tc>
      </w:tr>
      <w:tr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4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Adaptability</w:t>
            </w:r>
          </w:p>
        </w:tc>
        <w:tc>
          <w:tcPr>
            <w:tcW w:type="dxa" w:w="2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Q1=A (0.80), Q9=A (0.80)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( 0.80 + 0.80 ) ÷ 2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4EDD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0.800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4EDD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A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Harmony</w:t>
            </w:r>
          </w:p>
        </w:tc>
        <w:tc>
          <w:tcPr>
            <w:tcW w:type="dxa" w:w="2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Q8=B (0.70), Q4=C (0.65)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( 0.70 + 0.65 ) ÷ 2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9C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0.675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9C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Mid</w:t>
            </w:r>
          </w:p>
        </w:tc>
      </w:tr>
      <w:tr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4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Data Orientation</w:t>
            </w:r>
          </w:p>
        </w:tc>
        <w:tc>
          <w:tcPr>
            <w:tcW w:type="dxa" w:w="2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Q5=A (0.60), Q10=C (0.75)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( 0.60 + 0.75 ) ÷ 2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9C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0.675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9C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Mid</w:t>
            </w:r>
          </w:p>
        </w:tc>
      </w:tr>
      <w:tr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A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Creative Drive</w:t>
            </w:r>
          </w:p>
        </w:tc>
        <w:tc>
          <w:tcPr>
            <w:tcW w:type="dxa" w:w="2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Q11=D (0.85), Q12=C (0.80)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( 0.85 + 0.80 ) ÷ 2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4EDD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0.825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4EDD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4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Futuristic</w:t>
            </w:r>
          </w:p>
        </w:tc>
        <w:tc>
          <w:tcPr>
            <w:tcW w:type="dxa" w:w="2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Q12=C (0.82), Q11=D (0.85)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( 0.82 + 0.85 ) ÷ 2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4EDD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0.835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4EDD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High</w:t>
            </w:r>
          </w:p>
        </w:tc>
      </w:tr>
    </w:tbl>
    <w:p>
      <w:pPr>
        <w:spacing w:after="0" w:before="80"/>
      </w:pP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This user's profile: high Adaptability, Creative Drive, and Futuristic — moderate everything else. This pattern is characteristic of a visionary, independent contributor who is comfortable with change and driven by new ideas, but not strongly people-first or pace-dependent.</w:t>
      </w:r>
    </w:p>
    <w:p>
      <w:pPr>
        <w:pBdr>
          <w:bottom w:val="single" w:color="CCCCCC" w:sz="4" w:space="1"/>
        </w:pBdr>
        <w:spacing w:after="160" w:before="16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3A2A"/>
          <w:sz w:val="28"/>
          <w:szCs w:val="28"/>
        </w:rPr>
        <w:t xml:space="preserve">Design Notes &amp; Considerations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 few things worth knowing about the current scoring design:</w:t>
      </w:r>
    </w:p>
    <w:p>
      <w:pPr>
        <w:spacing w:after="0" w:before="8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Data Orientation has the narrowest effective range (0.55–0.85). There is no answer combination that produces a score below 0.55, which means every user reads as at least moderately data-oriented. This may be intentional (reflecting the target user base) or a calibration decision to revisit.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WP-Q9 has an unusual pattern in Empathy: answers A and C both score 0.45, making them equivalent despite being different answers. This is worth flagging — it may be intentional to weight answer D disproportionately, or it may be a calibration oversight.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Futuristic and Creative Drive are fully correlated in terms of question inputs — both use only WP-Q11 and WP-Q12. The distinction comes entirely from the different score values assigned to each answer. A user who scores high on one will almost always score high on the other.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Three questions (WP-Q3, WP-Q6, WP-Q7) currently have no scoring impact. If these questions are shown to users, their purpose should be documented — whether they are used for routing, display context, or held as future scoring inputs.</w:t>
      </w:r>
    </w:p>
    <w:p>
      <w:pPr>
        <w:spacing w:after="0" w:before="240"/>
      </w:pP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4"/>
      </w:pBdr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of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4" w:space="4"/>
      </w:pBdr>
      <w:tabs>
        <w:tab w:val="right" w:pos="9360"/>
      </w:tabs>
    </w:pPr>
    <w:r>
      <w:rPr>
        <w:rFonts w:ascii="Arial" w:cs="Arial" w:eastAsia="Arial" w:hAnsi="Arial"/>
        <w:color w:val="888888"/>
        <w:sz w:val="18"/>
        <w:szCs w:val="18"/>
      </w:rPr>
      <w:t xml:space="preserve">Solverah — WorkPulse</w:t>
    </w:r>
    <w:r>
      <w:rPr>
        <w:rFonts w:ascii="Arial" w:cs="Arial" w:eastAsia="Arial" w:hAnsi="Arial"/>
        <w:color w:val="888888"/>
        <w:sz w:val="18"/>
        <w:szCs w:val="18"/>
      </w:rPr>
      <w:t xml:space="preserve">		Scoring Reference — Product Overview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2026-06-09T23:49:30.455Z</dcterms:created>
  <dcterms:modified xsi:type="dcterms:W3CDTF">2026-06-09T23:49:30.468Z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