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Solverah — Causal Fit Model</w:t>
      </w:r>
    </w:p>
    <w:p>
      <w:pPr>
        <w:spacing w:after="300"/>
      </w:pPr>
      <w:r>
        <w:rPr>
          <w:i/>
          <w:iCs/>
          <w:color w:val="555555"/>
          <w:sz w:val="22"/>
          <w:szCs w:val="22"/>
        </w:rPr>
        <w:t xml:space="preserve">First draft causal graph + implementation plan  ·  July 2026</w:t>
      </w:r>
    </w:p>
    <w:p>
      <w:pPr>
        <w:pStyle w:val="Heading1"/>
        <w:spacing w:after="150" w:before="300"/>
      </w:pPr>
      <w:r>
        <w:t xml:space="preserve">Why a causal graph, not a similarity score</w:t>
      </w:r>
    </w:p>
    <w:p>
      <w:pPr>
        <w:spacing w:after="160"/>
      </w:pPr>
      <w:r>
        <w:t xml:space="preserve">Most "fit" tools compare a person profile and a company profile as two independent vectors and measure distance between them. That treats fit as similarity. Solverah's own thesis — understanding the interaction between person and environment, not either alone — is a different, stronger claim: it says a specific person trait combined with a specific environment trait produces a specific outcome. That is a causal claim, not a correlational one, and it requires a different kind of model: a causal Bayesian network, where edges represent hypothesized cause-and-effect mechanisms and each edge's strength is a probability that sharpens as real evidence comes in, rather than a fixed weight.</w:t>
      </w:r>
    </w:p>
    <w:p>
      <w:pPr>
        <w:spacing w:after="160"/>
      </w:pPr>
      <w:r>
        <w:t xml:space="preserve">The graph below is a first-draft hypothesis, not a finished model. It is meant to be argued with tonight, not accepted as-is.</w:t>
      </w:r>
    </w:p>
    <w:p>
      <w:pPr>
        <w:pStyle w:val="Heading1"/>
        <w:spacing w:after="150" w:before="300"/>
      </w:pPr>
      <w:r>
        <w:t xml:space="preserve">First-draft causal graph</w:t>
      </w:r>
    </w:p>
    <w:p>
      <w:pPr>
        <w:spacing w:after="200"/>
        <w:jc w:val="center"/>
      </w:pPr>
      <w:r>
        <w:drawing>
          <wp:inline distT="0" distB="0" distL="0" distR="0">
            <wp:extent cx="57150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200525"/>
                    </a:xfrm>
                    <a:prstGeom prst="rect">
                      <a:avLst/>
                    </a:prstGeom>
                  </pic:spPr>
                </pic:pic>
              </a:graphicData>
            </a:graphic>
          </wp:inline>
        </w:drawing>
      </w:r>
    </w:p>
    <w:p>
      <w:pPr>
        <w:spacing w:after="160"/>
      </w:pPr>
      <w:r>
        <w:t xml:space="preserve">Read the graph as: person-side traits and environment-side traits each causally feed a Fit node for that dimension (autonomy, pace, feedback style). The Fit nodes jointly drive Engagement, which Work Pulse observes over time. Engagement plus Current Context (from Career Moments) drives the Guidance output. Only three dimensions are sketched here — enough to prove the shape works. Every additional Solverah signal (values alignment, growth trajectory, workload tolerance, etc.) becomes another Person/Environment pair feeding its own Fit node into the same Engagement node.</w:t>
      </w:r>
    </w:p>
    <w:p>
      <w:pPr>
        <w:pStyle w:val="Heading1"/>
        <w:spacing w:after="150" w:before="300"/>
      </w:pPr>
      <w:r>
        <w:t xml:space="preserve">Node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3560"/>
      </w:tblGrid>
      <w:tr>
        <w:trPr>
          <w:tblHeader/>
        </w:trPr>
        <w:tc>
          <w:tcPr>
            <w:tcW w:type="dxa" w:w="2600"/>
            <w:shd w:fill="1F2937" w:val="clear"/>
            <w:tcMar>
              <w:top w:type="dxa" w:w="80"/>
              <w:left w:type="dxa" w:w="100"/>
              <w:bottom w:type="dxa" w:w="80"/>
              <w:right w:type="dxa" w:w="100"/>
            </w:tcMar>
          </w:tcPr>
          <w:p>
            <w:r>
              <w:rPr>
                <w:b/>
                <w:bCs/>
                <w:sz w:val="20"/>
                <w:szCs w:val="20"/>
              </w:rPr>
              <w:t xml:space="preserve">Node</w:t>
            </w:r>
          </w:p>
        </w:tc>
        <w:tc>
          <w:tcPr>
            <w:tcW w:type="dxa" w:w="1500"/>
            <w:shd w:fill="1F2937" w:val="clear"/>
            <w:tcMar>
              <w:top w:type="dxa" w:w="80"/>
              <w:left w:type="dxa" w:w="100"/>
              <w:bottom w:type="dxa" w:w="80"/>
              <w:right w:type="dxa" w:w="100"/>
            </w:tcMar>
          </w:tcPr>
          <w:p>
            <w:r>
              <w:rPr>
                <w:b/>
                <w:bCs/>
                <w:sz w:val="20"/>
                <w:szCs w:val="20"/>
              </w:rPr>
              <w:t xml:space="preserve">Layer</w:t>
            </w:r>
          </w:p>
        </w:tc>
        <w:tc>
          <w:tcPr>
            <w:tcW w:type="dxa" w:w="1700"/>
            <w:shd w:fill="1F2937" w:val="clear"/>
            <w:tcMar>
              <w:top w:type="dxa" w:w="80"/>
              <w:left w:type="dxa" w:w="100"/>
              <w:bottom w:type="dxa" w:w="80"/>
              <w:right w:type="dxa" w:w="100"/>
            </w:tcMar>
          </w:tcPr>
          <w:p>
            <w:r>
              <w:rPr>
                <w:b/>
                <w:bCs/>
                <w:sz w:val="20"/>
                <w:szCs w:val="20"/>
              </w:rPr>
              <w:t xml:space="preserve">Feeds from</w:t>
            </w:r>
          </w:p>
        </w:tc>
        <w:tc>
          <w:tcPr>
            <w:tcW w:type="dxa" w:w="3560"/>
            <w:shd w:fill="1F2937" w:val="clear"/>
            <w:tcMar>
              <w:top w:type="dxa" w:w="80"/>
              <w:left w:type="dxa" w:w="100"/>
              <w:bottom w:type="dxa" w:w="80"/>
              <w:right w:type="dxa" w:w="100"/>
            </w:tcMar>
          </w:tcPr>
          <w:p>
            <w:r>
              <w:rPr>
                <w:b/>
                <w:bCs/>
                <w:sz w:val="20"/>
                <w:szCs w:val="20"/>
              </w:rPr>
              <w:t xml:space="preserve">What it represents</w:t>
            </w:r>
          </w:p>
        </w:tc>
      </w:tr>
      <w:tr>
        <w:tc>
          <w:tcPr>
            <w:tcW w:type="dxa" w:w="2600"/>
            <w:shd w:fill="FFFFFF" w:val="clear"/>
            <w:tcMar>
              <w:top w:type="dxa" w:w="80"/>
              <w:left w:type="dxa" w:w="100"/>
              <w:bottom w:type="dxa" w:w="80"/>
              <w:right w:type="dxa" w:w="100"/>
            </w:tcMar>
          </w:tcPr>
          <w:p>
            <w:r>
              <w:rPr>
                <w:b w:val="false"/>
                <w:bCs w:val="false"/>
                <w:sz w:val="20"/>
                <w:szCs w:val="20"/>
              </w:rPr>
              <w:t xml:space="preserve">P_Autonomy</w:t>
            </w:r>
          </w:p>
        </w:tc>
        <w:tc>
          <w:tcPr>
            <w:tcW w:type="dxa" w:w="1500"/>
            <w:shd w:fill="FFFFFF" w:val="clear"/>
            <w:tcMar>
              <w:top w:type="dxa" w:w="80"/>
              <w:left w:type="dxa" w:w="100"/>
              <w:bottom w:type="dxa" w:w="80"/>
              <w:right w:type="dxa" w:w="100"/>
            </w:tcMar>
          </w:tcPr>
          <w:p>
            <w:r>
              <w:rPr>
                <w:b w:val="false"/>
                <w:bCs w:val="false"/>
                <w:sz w:val="20"/>
                <w:szCs w:val="20"/>
              </w:rPr>
              <w:t xml:space="preserve">Person</w:t>
            </w:r>
          </w:p>
        </w:tc>
        <w:tc>
          <w:tcPr>
            <w:tcW w:type="dxa" w:w="1700"/>
            <w:shd w:fill="FFFFFF" w:val="clear"/>
            <w:tcMar>
              <w:top w:type="dxa" w:w="80"/>
              <w:left w:type="dxa" w:w="100"/>
              <w:bottom w:type="dxa" w:w="80"/>
              <w:right w:type="dxa" w:w="100"/>
            </w:tcMar>
          </w:tcPr>
          <w:p>
            <w:r>
              <w:rPr>
                <w:b w:val="false"/>
                <w:bCs w:val="false"/>
                <w:sz w:val="20"/>
                <w:szCs w:val="20"/>
              </w:rPr>
              <w:t xml:space="preserve">Reflection</w:t>
            </w:r>
          </w:p>
        </w:tc>
        <w:tc>
          <w:tcPr>
            <w:tcW w:type="dxa" w:w="3560"/>
            <w:shd w:fill="FFFFFF" w:val="clear"/>
            <w:tcMar>
              <w:top w:type="dxa" w:w="80"/>
              <w:left w:type="dxa" w:w="100"/>
              <w:bottom w:type="dxa" w:w="80"/>
              <w:right w:type="dxa" w:w="100"/>
            </w:tcMar>
          </w:tcPr>
          <w:p>
            <w:r>
              <w:rPr>
                <w:b w:val="false"/>
                <w:bCs w:val="false"/>
                <w:sz w:val="20"/>
                <w:szCs w:val="20"/>
              </w:rPr>
              <w:t xml:space="preserve">Person's need for autonomy</w:t>
            </w:r>
          </w:p>
        </w:tc>
      </w:tr>
      <w:tr>
        <w:tc>
          <w:tcPr>
            <w:tcW w:type="dxa" w:w="2600"/>
            <w:shd w:fill="F3F4F6" w:val="clear"/>
            <w:tcMar>
              <w:top w:type="dxa" w:w="80"/>
              <w:left w:type="dxa" w:w="100"/>
              <w:bottom w:type="dxa" w:w="80"/>
              <w:right w:type="dxa" w:w="100"/>
            </w:tcMar>
          </w:tcPr>
          <w:p>
            <w:r>
              <w:rPr>
                <w:b w:val="false"/>
                <w:bCs w:val="false"/>
                <w:sz w:val="20"/>
                <w:szCs w:val="20"/>
              </w:rPr>
              <w:t xml:space="preserve">P_Pace</w:t>
            </w:r>
          </w:p>
        </w:tc>
        <w:tc>
          <w:tcPr>
            <w:tcW w:type="dxa" w:w="1500"/>
            <w:shd w:fill="F3F4F6" w:val="clear"/>
            <w:tcMar>
              <w:top w:type="dxa" w:w="80"/>
              <w:left w:type="dxa" w:w="100"/>
              <w:bottom w:type="dxa" w:w="80"/>
              <w:right w:type="dxa" w:w="100"/>
            </w:tcMar>
          </w:tcPr>
          <w:p>
            <w:r>
              <w:rPr>
                <w:b w:val="false"/>
                <w:bCs w:val="false"/>
                <w:sz w:val="20"/>
                <w:szCs w:val="20"/>
              </w:rPr>
              <w:t xml:space="preserve">Person</w:t>
            </w:r>
          </w:p>
        </w:tc>
        <w:tc>
          <w:tcPr>
            <w:tcW w:type="dxa" w:w="1700"/>
            <w:shd w:fill="F3F4F6" w:val="clear"/>
            <w:tcMar>
              <w:top w:type="dxa" w:w="80"/>
              <w:left w:type="dxa" w:w="100"/>
              <w:bottom w:type="dxa" w:w="80"/>
              <w:right w:type="dxa" w:w="100"/>
            </w:tcMar>
          </w:tcPr>
          <w:p>
            <w:r>
              <w:rPr>
                <w:b w:val="false"/>
                <w:bCs w:val="false"/>
                <w:sz w:val="20"/>
                <w:szCs w:val="20"/>
              </w:rPr>
              <w:t xml:space="preserve">Reflection</w:t>
            </w:r>
          </w:p>
        </w:tc>
        <w:tc>
          <w:tcPr>
            <w:tcW w:type="dxa" w:w="3560"/>
            <w:shd w:fill="F3F4F6" w:val="clear"/>
            <w:tcMar>
              <w:top w:type="dxa" w:w="80"/>
              <w:left w:type="dxa" w:w="100"/>
              <w:bottom w:type="dxa" w:w="80"/>
              <w:right w:type="dxa" w:w="100"/>
            </w:tcMar>
          </w:tcPr>
          <w:p>
            <w:r>
              <w:rPr>
                <w:b w:val="false"/>
                <w:bCs w:val="false"/>
                <w:sz w:val="20"/>
                <w:szCs w:val="20"/>
              </w:rPr>
              <w:t xml:space="preserve">Person's preferred work pace / tempo</w:t>
            </w:r>
          </w:p>
        </w:tc>
      </w:tr>
      <w:tr>
        <w:tc>
          <w:tcPr>
            <w:tcW w:type="dxa" w:w="2600"/>
            <w:shd w:fill="FFFFFF" w:val="clear"/>
            <w:tcMar>
              <w:top w:type="dxa" w:w="80"/>
              <w:left w:type="dxa" w:w="100"/>
              <w:bottom w:type="dxa" w:w="80"/>
              <w:right w:type="dxa" w:w="100"/>
            </w:tcMar>
          </w:tcPr>
          <w:p>
            <w:r>
              <w:rPr>
                <w:b w:val="false"/>
                <w:bCs w:val="false"/>
                <w:sz w:val="20"/>
                <w:szCs w:val="20"/>
              </w:rPr>
              <w:t xml:space="preserve">P_Feedback</w:t>
            </w:r>
          </w:p>
        </w:tc>
        <w:tc>
          <w:tcPr>
            <w:tcW w:type="dxa" w:w="1500"/>
            <w:shd w:fill="FFFFFF" w:val="clear"/>
            <w:tcMar>
              <w:top w:type="dxa" w:w="80"/>
              <w:left w:type="dxa" w:w="100"/>
              <w:bottom w:type="dxa" w:w="80"/>
              <w:right w:type="dxa" w:w="100"/>
            </w:tcMar>
          </w:tcPr>
          <w:p>
            <w:r>
              <w:rPr>
                <w:b w:val="false"/>
                <w:bCs w:val="false"/>
                <w:sz w:val="20"/>
                <w:szCs w:val="20"/>
              </w:rPr>
              <w:t xml:space="preserve">Person</w:t>
            </w:r>
          </w:p>
        </w:tc>
        <w:tc>
          <w:tcPr>
            <w:tcW w:type="dxa" w:w="1700"/>
            <w:shd w:fill="FFFFFF" w:val="clear"/>
            <w:tcMar>
              <w:top w:type="dxa" w:w="80"/>
              <w:left w:type="dxa" w:w="100"/>
              <w:bottom w:type="dxa" w:w="80"/>
              <w:right w:type="dxa" w:w="100"/>
            </w:tcMar>
          </w:tcPr>
          <w:p>
            <w:r>
              <w:rPr>
                <w:b w:val="false"/>
                <w:bCs w:val="false"/>
                <w:sz w:val="20"/>
                <w:szCs w:val="20"/>
              </w:rPr>
              <w:t xml:space="preserve">Reflection</w:t>
            </w:r>
          </w:p>
        </w:tc>
        <w:tc>
          <w:tcPr>
            <w:tcW w:type="dxa" w:w="3560"/>
            <w:shd w:fill="FFFFFF" w:val="clear"/>
            <w:tcMar>
              <w:top w:type="dxa" w:w="80"/>
              <w:left w:type="dxa" w:w="100"/>
              <w:bottom w:type="dxa" w:w="80"/>
              <w:right w:type="dxa" w:w="100"/>
            </w:tcMar>
          </w:tcPr>
          <w:p>
            <w:r>
              <w:rPr>
                <w:b w:val="false"/>
                <w:bCs w:val="false"/>
                <w:sz w:val="20"/>
                <w:szCs w:val="20"/>
              </w:rPr>
              <w:t xml:space="preserve">Person's preferred feedback style</w:t>
            </w:r>
          </w:p>
        </w:tc>
      </w:tr>
      <w:tr>
        <w:tc>
          <w:tcPr>
            <w:tcW w:type="dxa" w:w="2600"/>
            <w:shd w:fill="F3F4F6" w:val="clear"/>
            <w:tcMar>
              <w:top w:type="dxa" w:w="80"/>
              <w:left w:type="dxa" w:w="100"/>
              <w:bottom w:type="dxa" w:w="80"/>
              <w:right w:type="dxa" w:w="100"/>
            </w:tcMar>
          </w:tcPr>
          <w:p>
            <w:r>
              <w:rPr>
                <w:b w:val="false"/>
                <w:bCs w:val="false"/>
                <w:sz w:val="20"/>
                <w:szCs w:val="20"/>
              </w:rPr>
              <w:t xml:space="preserve">E_ManagerStyle</w:t>
            </w:r>
          </w:p>
        </w:tc>
        <w:tc>
          <w:tcPr>
            <w:tcW w:type="dxa" w:w="1500"/>
            <w:shd w:fill="F3F4F6" w:val="clear"/>
            <w:tcMar>
              <w:top w:type="dxa" w:w="80"/>
              <w:left w:type="dxa" w:w="100"/>
              <w:bottom w:type="dxa" w:w="80"/>
              <w:right w:type="dxa" w:w="100"/>
            </w:tcMar>
          </w:tcPr>
          <w:p>
            <w:r>
              <w:rPr>
                <w:b w:val="false"/>
                <w:bCs w:val="false"/>
                <w:sz w:val="20"/>
                <w:szCs w:val="20"/>
              </w:rPr>
              <w:t xml:space="preserve">Environment</w:t>
            </w:r>
          </w:p>
        </w:tc>
        <w:tc>
          <w:tcPr>
            <w:tcW w:type="dxa" w:w="1700"/>
            <w:shd w:fill="F3F4F6" w:val="clear"/>
            <w:tcMar>
              <w:top w:type="dxa" w:w="80"/>
              <w:left w:type="dxa" w:w="100"/>
              <w:bottom w:type="dxa" w:w="80"/>
              <w:right w:type="dxa" w:w="100"/>
            </w:tcMar>
          </w:tcPr>
          <w:p>
            <w:r>
              <w:rPr>
                <w:b w:val="false"/>
                <w:bCs w:val="false"/>
                <w:sz w:val="20"/>
                <w:szCs w:val="20"/>
              </w:rPr>
              <w:t xml:space="preserve">ManagerMatch</w:t>
            </w:r>
          </w:p>
        </w:tc>
        <w:tc>
          <w:tcPr>
            <w:tcW w:type="dxa" w:w="3560"/>
            <w:shd w:fill="F3F4F6" w:val="clear"/>
            <w:tcMar>
              <w:top w:type="dxa" w:w="80"/>
              <w:left w:type="dxa" w:w="100"/>
              <w:bottom w:type="dxa" w:w="80"/>
              <w:right w:type="dxa" w:w="100"/>
            </w:tcMar>
          </w:tcPr>
          <w:p>
            <w:r>
              <w:rPr>
                <w:b w:val="false"/>
                <w:bCs w:val="false"/>
                <w:sz w:val="20"/>
                <w:szCs w:val="20"/>
              </w:rPr>
              <w:t xml:space="preserve">Manager's control vs. empowering style</w:t>
            </w:r>
          </w:p>
        </w:tc>
      </w:tr>
      <w:tr>
        <w:tc>
          <w:tcPr>
            <w:tcW w:type="dxa" w:w="2600"/>
            <w:shd w:fill="FFFFFF" w:val="clear"/>
            <w:tcMar>
              <w:top w:type="dxa" w:w="80"/>
              <w:left w:type="dxa" w:w="100"/>
              <w:bottom w:type="dxa" w:w="80"/>
              <w:right w:type="dxa" w:w="100"/>
            </w:tcMar>
          </w:tcPr>
          <w:p>
            <w:r>
              <w:rPr>
                <w:b w:val="false"/>
                <w:bCs w:val="false"/>
                <w:sz w:val="20"/>
                <w:szCs w:val="20"/>
              </w:rPr>
              <w:t xml:space="preserve">E_CulturePace</w:t>
            </w:r>
          </w:p>
        </w:tc>
        <w:tc>
          <w:tcPr>
            <w:tcW w:type="dxa" w:w="1500"/>
            <w:shd w:fill="FFFFFF" w:val="clear"/>
            <w:tcMar>
              <w:top w:type="dxa" w:w="80"/>
              <w:left w:type="dxa" w:w="100"/>
              <w:bottom w:type="dxa" w:w="80"/>
              <w:right w:type="dxa" w:w="100"/>
            </w:tcMar>
          </w:tcPr>
          <w:p>
            <w:r>
              <w:rPr>
                <w:b w:val="false"/>
                <w:bCs w:val="false"/>
                <w:sz w:val="20"/>
                <w:szCs w:val="20"/>
              </w:rPr>
              <w:t xml:space="preserve">Environment</w:t>
            </w:r>
          </w:p>
        </w:tc>
        <w:tc>
          <w:tcPr>
            <w:tcW w:type="dxa" w:w="1700"/>
            <w:shd w:fill="FFFFFF" w:val="clear"/>
            <w:tcMar>
              <w:top w:type="dxa" w:w="80"/>
              <w:left w:type="dxa" w:w="100"/>
              <w:bottom w:type="dxa" w:w="80"/>
              <w:right w:type="dxa" w:w="100"/>
            </w:tcMar>
          </w:tcPr>
          <w:p>
            <w:r>
              <w:rPr>
                <w:b w:val="false"/>
                <w:bCs w:val="false"/>
                <w:sz w:val="20"/>
                <w:szCs w:val="20"/>
              </w:rPr>
              <w:t xml:space="preserve">CompanyLens</w:t>
            </w:r>
          </w:p>
        </w:tc>
        <w:tc>
          <w:tcPr>
            <w:tcW w:type="dxa" w:w="3560"/>
            <w:shd w:fill="FFFFFF" w:val="clear"/>
            <w:tcMar>
              <w:top w:type="dxa" w:w="80"/>
              <w:left w:type="dxa" w:w="100"/>
              <w:bottom w:type="dxa" w:w="80"/>
              <w:right w:type="dxa" w:w="100"/>
            </w:tcMar>
          </w:tcPr>
          <w:p>
            <w:r>
              <w:rPr>
                <w:b w:val="false"/>
                <w:bCs w:val="false"/>
                <w:sz w:val="20"/>
                <w:szCs w:val="20"/>
              </w:rPr>
              <w:t xml:space="preserve">Company's operating tempo</w:t>
            </w:r>
          </w:p>
        </w:tc>
      </w:tr>
      <w:tr>
        <w:tc>
          <w:tcPr>
            <w:tcW w:type="dxa" w:w="2600"/>
            <w:shd w:fill="F3F4F6" w:val="clear"/>
            <w:tcMar>
              <w:top w:type="dxa" w:w="80"/>
              <w:left w:type="dxa" w:w="100"/>
              <w:bottom w:type="dxa" w:w="80"/>
              <w:right w:type="dxa" w:w="100"/>
            </w:tcMar>
          </w:tcPr>
          <w:p>
            <w:r>
              <w:rPr>
                <w:b w:val="false"/>
                <w:bCs w:val="false"/>
                <w:sz w:val="20"/>
                <w:szCs w:val="20"/>
              </w:rPr>
              <w:t xml:space="preserve">E_FeedbackCadence</w:t>
            </w:r>
          </w:p>
        </w:tc>
        <w:tc>
          <w:tcPr>
            <w:tcW w:type="dxa" w:w="1500"/>
            <w:shd w:fill="F3F4F6" w:val="clear"/>
            <w:tcMar>
              <w:top w:type="dxa" w:w="80"/>
              <w:left w:type="dxa" w:w="100"/>
              <w:bottom w:type="dxa" w:w="80"/>
              <w:right w:type="dxa" w:w="100"/>
            </w:tcMar>
          </w:tcPr>
          <w:p>
            <w:r>
              <w:rPr>
                <w:b w:val="false"/>
                <w:bCs w:val="false"/>
                <w:sz w:val="20"/>
                <w:szCs w:val="20"/>
              </w:rPr>
              <w:t xml:space="preserve">Environment</w:t>
            </w:r>
          </w:p>
        </w:tc>
        <w:tc>
          <w:tcPr>
            <w:tcW w:type="dxa" w:w="1700"/>
            <w:shd w:fill="F3F4F6" w:val="clear"/>
            <w:tcMar>
              <w:top w:type="dxa" w:w="80"/>
              <w:left w:type="dxa" w:w="100"/>
              <w:bottom w:type="dxa" w:w="80"/>
              <w:right w:type="dxa" w:w="100"/>
            </w:tcMar>
          </w:tcPr>
          <w:p>
            <w:r>
              <w:rPr>
                <w:b w:val="false"/>
                <w:bCs w:val="false"/>
                <w:sz w:val="20"/>
                <w:szCs w:val="20"/>
              </w:rPr>
              <w:t xml:space="preserve">ManagerMatch</w:t>
            </w:r>
          </w:p>
        </w:tc>
        <w:tc>
          <w:tcPr>
            <w:tcW w:type="dxa" w:w="3560"/>
            <w:shd w:fill="F3F4F6" w:val="clear"/>
            <w:tcMar>
              <w:top w:type="dxa" w:w="80"/>
              <w:left w:type="dxa" w:w="100"/>
              <w:bottom w:type="dxa" w:w="80"/>
              <w:right w:type="dxa" w:w="100"/>
            </w:tcMar>
          </w:tcPr>
          <w:p>
            <w:r>
              <w:rPr>
                <w:b w:val="false"/>
                <w:bCs w:val="false"/>
                <w:sz w:val="20"/>
                <w:szCs w:val="20"/>
              </w:rPr>
              <w:t xml:space="preserve">Manager's feedback cadence / style</w:t>
            </w:r>
          </w:p>
        </w:tc>
      </w:tr>
      <w:tr>
        <w:tc>
          <w:tcPr>
            <w:tcW w:type="dxa" w:w="2600"/>
            <w:shd w:fill="FFFFFF" w:val="clear"/>
            <w:tcMar>
              <w:top w:type="dxa" w:w="80"/>
              <w:left w:type="dxa" w:w="100"/>
              <w:bottom w:type="dxa" w:w="80"/>
              <w:right w:type="dxa" w:w="100"/>
            </w:tcMar>
          </w:tcPr>
          <w:p>
            <w:r>
              <w:rPr>
                <w:b w:val="false"/>
                <w:bCs w:val="false"/>
                <w:sz w:val="20"/>
                <w:szCs w:val="20"/>
              </w:rPr>
              <w:t xml:space="preserve">Fit_Autonomy / Pace / Feedback</w:t>
            </w:r>
          </w:p>
        </w:tc>
        <w:tc>
          <w:tcPr>
            <w:tcW w:type="dxa" w:w="1500"/>
            <w:shd w:fill="FFFFFF" w:val="clear"/>
            <w:tcMar>
              <w:top w:type="dxa" w:w="80"/>
              <w:left w:type="dxa" w:w="100"/>
              <w:bottom w:type="dxa" w:w="80"/>
              <w:right w:type="dxa" w:w="100"/>
            </w:tcMar>
          </w:tcPr>
          <w:p>
            <w:r>
              <w:rPr>
                <w:b w:val="false"/>
                <w:bCs w:val="false"/>
                <w:sz w:val="20"/>
                <w:szCs w:val="20"/>
              </w:rPr>
              <w:t xml:space="preserve">Fit (causal)</w:t>
            </w:r>
          </w:p>
        </w:tc>
        <w:tc>
          <w:tcPr>
            <w:tcW w:type="dxa" w:w="1700"/>
            <w:shd w:fill="FFFFFF" w:val="clear"/>
            <w:tcMar>
              <w:top w:type="dxa" w:w="80"/>
              <w:left w:type="dxa" w:w="100"/>
              <w:bottom w:type="dxa" w:w="80"/>
              <w:right w:type="dxa" w:w="100"/>
            </w:tcMar>
          </w:tcPr>
          <w:p>
            <w:r>
              <w:rPr>
                <w:b w:val="false"/>
                <w:bCs w:val="false"/>
                <w:sz w:val="20"/>
                <w:szCs w:val="20"/>
              </w:rPr>
              <w:t xml:space="preserve">Derived</w:t>
            </w:r>
          </w:p>
        </w:tc>
        <w:tc>
          <w:tcPr>
            <w:tcW w:type="dxa" w:w="3560"/>
            <w:shd w:fill="FFFFFF" w:val="clear"/>
            <w:tcMar>
              <w:top w:type="dxa" w:w="80"/>
              <w:left w:type="dxa" w:w="100"/>
              <w:bottom w:type="dxa" w:w="80"/>
              <w:right w:type="dxa" w:w="100"/>
            </w:tcMar>
          </w:tcPr>
          <w:p>
            <w:r>
              <w:rPr>
                <w:b w:val="false"/>
                <w:bCs w:val="false"/>
                <w:sz w:val="20"/>
                <w:szCs w:val="20"/>
              </w:rPr>
              <w:t xml:space="preserve">The interaction node — not a distance metric, a hypothesized causal outcome of the person/environment pair</w:t>
            </w:r>
          </w:p>
        </w:tc>
      </w:tr>
      <w:tr>
        <w:tc>
          <w:tcPr>
            <w:tcW w:type="dxa" w:w="2600"/>
            <w:shd w:fill="F3F4F6" w:val="clear"/>
            <w:tcMar>
              <w:top w:type="dxa" w:w="80"/>
              <w:left w:type="dxa" w:w="100"/>
              <w:bottom w:type="dxa" w:w="80"/>
              <w:right w:type="dxa" w:w="100"/>
            </w:tcMar>
          </w:tcPr>
          <w:p>
            <w:r>
              <w:rPr>
                <w:b w:val="false"/>
                <w:bCs w:val="false"/>
                <w:sz w:val="20"/>
                <w:szCs w:val="20"/>
              </w:rPr>
              <w:t xml:space="preserve">Engagement</w:t>
            </w:r>
          </w:p>
        </w:tc>
        <w:tc>
          <w:tcPr>
            <w:tcW w:type="dxa" w:w="1500"/>
            <w:shd w:fill="F3F4F6" w:val="clear"/>
            <w:tcMar>
              <w:top w:type="dxa" w:w="80"/>
              <w:left w:type="dxa" w:w="100"/>
              <w:bottom w:type="dxa" w:w="80"/>
              <w:right w:type="dxa" w:w="100"/>
            </w:tcMar>
          </w:tcPr>
          <w:p>
            <w:r>
              <w:rPr>
                <w:b w:val="false"/>
                <w:bCs w:val="false"/>
                <w:sz w:val="20"/>
                <w:szCs w:val="20"/>
              </w:rPr>
              <w:t xml:space="preserve">Outcome</w:t>
            </w:r>
          </w:p>
        </w:tc>
        <w:tc>
          <w:tcPr>
            <w:tcW w:type="dxa" w:w="1700"/>
            <w:shd w:fill="F3F4F6" w:val="clear"/>
            <w:tcMar>
              <w:top w:type="dxa" w:w="80"/>
              <w:left w:type="dxa" w:w="100"/>
              <w:bottom w:type="dxa" w:w="80"/>
              <w:right w:type="dxa" w:w="100"/>
            </w:tcMar>
          </w:tcPr>
          <w:p>
            <w:r>
              <w:rPr>
                <w:b w:val="false"/>
                <w:bCs w:val="false"/>
                <w:sz w:val="20"/>
                <w:szCs w:val="20"/>
              </w:rPr>
              <w:t xml:space="preserve">Work Pulse</w:t>
            </w:r>
          </w:p>
        </w:tc>
        <w:tc>
          <w:tcPr>
            <w:tcW w:type="dxa" w:w="3560"/>
            <w:shd w:fill="F3F4F6" w:val="clear"/>
            <w:tcMar>
              <w:top w:type="dxa" w:w="80"/>
              <w:left w:type="dxa" w:w="100"/>
              <w:bottom w:type="dxa" w:w="80"/>
              <w:right w:type="dxa" w:w="100"/>
            </w:tcMar>
          </w:tcPr>
          <w:p>
            <w:r>
              <w:rPr>
                <w:b w:val="false"/>
                <w:bCs w:val="false"/>
                <w:sz w:val="20"/>
                <w:szCs w:val="20"/>
              </w:rPr>
              <w:t xml:space="preserve">Observed over time; driven jointly by all Fit nodes</w:t>
            </w:r>
          </w:p>
        </w:tc>
      </w:tr>
      <w:tr>
        <w:tc>
          <w:tcPr>
            <w:tcW w:type="dxa" w:w="2600"/>
            <w:shd w:fill="FFFFFF" w:val="clear"/>
            <w:tcMar>
              <w:top w:type="dxa" w:w="80"/>
              <w:left w:type="dxa" w:w="100"/>
              <w:bottom w:type="dxa" w:w="80"/>
              <w:right w:type="dxa" w:w="100"/>
            </w:tcMar>
          </w:tcPr>
          <w:p>
            <w:r>
              <w:rPr>
                <w:b w:val="false"/>
                <w:bCs w:val="false"/>
                <w:sz w:val="20"/>
                <w:szCs w:val="20"/>
              </w:rPr>
              <w:t xml:space="preserve">Current Context</w:t>
            </w:r>
          </w:p>
        </w:tc>
        <w:tc>
          <w:tcPr>
            <w:tcW w:type="dxa" w:w="1500"/>
            <w:shd w:fill="FFFFFF" w:val="clear"/>
            <w:tcMar>
              <w:top w:type="dxa" w:w="80"/>
              <w:left w:type="dxa" w:w="100"/>
              <w:bottom w:type="dxa" w:w="80"/>
              <w:right w:type="dxa" w:w="100"/>
            </w:tcMar>
          </w:tcPr>
          <w:p>
            <w:r>
              <w:rPr>
                <w:b w:val="false"/>
                <w:bCs w:val="false"/>
                <w:sz w:val="20"/>
                <w:szCs w:val="20"/>
              </w:rPr>
              <w:t xml:space="preserve">Context</w:t>
            </w:r>
          </w:p>
        </w:tc>
        <w:tc>
          <w:tcPr>
            <w:tcW w:type="dxa" w:w="1700"/>
            <w:shd w:fill="FFFFFF" w:val="clear"/>
            <w:tcMar>
              <w:top w:type="dxa" w:w="80"/>
              <w:left w:type="dxa" w:w="100"/>
              <w:bottom w:type="dxa" w:w="80"/>
              <w:right w:type="dxa" w:w="100"/>
            </w:tcMar>
          </w:tcPr>
          <w:p>
            <w:r>
              <w:rPr>
                <w:b w:val="false"/>
                <w:bCs w:val="false"/>
                <w:sz w:val="20"/>
                <w:szCs w:val="20"/>
              </w:rPr>
              <w:t xml:space="preserve">Career Moments</w:t>
            </w:r>
          </w:p>
        </w:tc>
        <w:tc>
          <w:tcPr>
            <w:tcW w:type="dxa" w:w="3560"/>
            <w:shd w:fill="FFFFFF" w:val="clear"/>
            <w:tcMar>
              <w:top w:type="dxa" w:w="80"/>
              <w:left w:type="dxa" w:w="100"/>
              <w:bottom w:type="dxa" w:w="80"/>
              <w:right w:type="dxa" w:w="100"/>
            </w:tcMar>
          </w:tcPr>
          <w:p>
            <w:r>
              <w:rPr>
                <w:b w:val="false"/>
                <w:bCs w:val="false"/>
                <w:sz w:val="20"/>
                <w:szCs w:val="20"/>
              </w:rPr>
              <w:t xml:space="preserve">Timing, urgency, career stage — modifies guidance, not fit itself</w:t>
            </w:r>
          </w:p>
        </w:tc>
      </w:tr>
      <w:tr>
        <w:tc>
          <w:tcPr>
            <w:tcW w:type="dxa" w:w="2600"/>
            <w:shd w:fill="F3F4F6" w:val="clear"/>
            <w:tcMar>
              <w:top w:type="dxa" w:w="80"/>
              <w:left w:type="dxa" w:w="100"/>
              <w:bottom w:type="dxa" w:w="80"/>
              <w:right w:type="dxa" w:w="100"/>
            </w:tcMar>
          </w:tcPr>
          <w:p>
            <w:r>
              <w:rPr>
                <w:b w:val="false"/>
                <w:bCs w:val="false"/>
                <w:sz w:val="20"/>
                <w:szCs w:val="20"/>
              </w:rPr>
              <w:t xml:space="preserve">Guidance</w:t>
            </w:r>
          </w:p>
        </w:tc>
        <w:tc>
          <w:tcPr>
            <w:tcW w:type="dxa" w:w="1500"/>
            <w:shd w:fill="F3F4F6" w:val="clear"/>
            <w:tcMar>
              <w:top w:type="dxa" w:w="80"/>
              <w:left w:type="dxa" w:w="100"/>
              <w:bottom w:type="dxa" w:w="80"/>
              <w:right w:type="dxa" w:w="100"/>
            </w:tcMar>
          </w:tcPr>
          <w:p>
            <w:r>
              <w:rPr>
                <w:b w:val="false"/>
                <w:bCs w:val="false"/>
                <w:sz w:val="20"/>
                <w:szCs w:val="20"/>
              </w:rPr>
              <w:t xml:space="preserve">Output</w:t>
            </w:r>
          </w:p>
        </w:tc>
        <w:tc>
          <w:tcPr>
            <w:tcW w:type="dxa" w:w="1700"/>
            <w:shd w:fill="F3F4F6" w:val="clear"/>
            <w:tcMar>
              <w:top w:type="dxa" w:w="80"/>
              <w:left w:type="dxa" w:w="100"/>
              <w:bottom w:type="dxa" w:w="80"/>
              <w:right w:type="dxa" w:w="100"/>
            </w:tcMar>
          </w:tcPr>
          <w:p>
            <w:r>
              <w:rPr>
                <w:b w:val="false"/>
                <w:bCs w:val="false"/>
                <w:sz w:val="20"/>
                <w:szCs w:val="20"/>
              </w:rPr>
              <w:t xml:space="preserve">Decision Intelligence</w:t>
            </w:r>
          </w:p>
        </w:tc>
        <w:tc>
          <w:tcPr>
            <w:tcW w:type="dxa" w:w="3560"/>
            <w:shd w:fill="F3F4F6" w:val="clear"/>
            <w:tcMar>
              <w:top w:type="dxa" w:w="80"/>
              <w:left w:type="dxa" w:w="100"/>
              <w:bottom w:type="dxa" w:w="80"/>
              <w:right w:type="dxa" w:w="100"/>
            </w:tcMar>
          </w:tcPr>
          <w:p>
            <w:r>
              <w:rPr>
                <w:b w:val="false"/>
                <w:bCs w:val="false"/>
                <w:sz w:val="20"/>
                <w:szCs w:val="20"/>
              </w:rPr>
              <w:t xml:space="preserve">The recommendation, driven by Engagement + Current Context</w:t>
            </w:r>
          </w:p>
        </w:tc>
      </w:tr>
    </w:tbl>
    <w:p>
      <w:pPr>
        <w:pStyle w:val="Heading1"/>
        <w:spacing w:after="150" w:before="300"/>
      </w:pPr>
      <w:r>
        <w:t xml:space="preserve">Why this specific piece is the IP</w:t>
      </w:r>
    </w:p>
    <w:p>
      <w:pPr>
        <w:spacing w:after="160"/>
      </w:pPr>
      <w:r>
        <w:t xml:space="preserve">Everything left of the Fit layer (signal capture) and everything right of Guidance (narrating the output in natural language via an LLM) is replicable by any competent team in weeks — it's commodity NLP and commodity LLM plumbing. The Fit layer is the part that isn't: the specific causal structure you assert, and the outcome data used to test and refine it over time, are what a competitor cannot get by reading your marketing materials. Protect and iterate on that layer deliberately; don't let engineering effort default to the two commodity ends because they're easier to build first.</w:t>
      </w:r>
    </w:p>
    <w:p>
      <w:pPr>
        <w:pStyle w:val="Heading1"/>
        <w:spacing w:after="150" w:before="300"/>
      </w:pPr>
      <w:r>
        <w:t xml:space="preserve">Recommended tooling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F2937" w:val="clear"/>
            <w:tcMar>
              <w:top w:type="dxa" w:w="80"/>
              <w:left w:type="dxa" w:w="100"/>
              <w:bottom w:type="dxa" w:w="80"/>
              <w:right w:type="dxa" w:w="100"/>
            </w:tcMar>
          </w:tcPr>
          <w:p>
            <w:r>
              <w:rPr>
                <w:b/>
                <w:bCs/>
                <w:sz w:val="20"/>
                <w:szCs w:val="20"/>
              </w:rPr>
              <w:t xml:space="preserve">Layer</w:t>
            </w:r>
          </w:p>
        </w:tc>
        <w:tc>
          <w:tcPr>
            <w:tcW w:type="dxa" w:w="1600"/>
            <w:shd w:fill="1F2937" w:val="clear"/>
            <w:tcMar>
              <w:top w:type="dxa" w:w="80"/>
              <w:left w:type="dxa" w:w="100"/>
              <w:bottom w:type="dxa" w:w="80"/>
              <w:right w:type="dxa" w:w="100"/>
            </w:tcMar>
          </w:tcPr>
          <w:p>
            <w:r>
              <w:rPr>
                <w:b/>
                <w:bCs/>
                <w:sz w:val="20"/>
                <w:szCs w:val="20"/>
              </w:rPr>
              <w:t xml:space="preserve">Tool</w:t>
            </w:r>
          </w:p>
        </w:tc>
        <w:tc>
          <w:tcPr>
            <w:tcW w:type="dxa" w:w="5560"/>
            <w:shd w:fill="1F2937" w:val="clear"/>
            <w:tcMar>
              <w:top w:type="dxa" w:w="80"/>
              <w:left w:type="dxa" w:w="100"/>
              <w:bottom w:type="dxa" w:w="80"/>
              <w:right w:type="dxa" w:w="100"/>
            </w:tcMar>
          </w:tcPr>
          <w:p>
            <w:r>
              <w:rPr>
                <w:b/>
                <w:bCs/>
                <w:sz w:val="20"/>
                <w:szCs w:val="20"/>
              </w:rPr>
              <w:t xml:space="preserve">Why</w:t>
            </w:r>
          </w:p>
        </w:tc>
      </w:tr>
      <w:tr>
        <w:tc>
          <w:tcPr>
            <w:tcW w:type="dxa" w:w="2200"/>
            <w:shd w:fill="FFFFFF" w:val="clear"/>
            <w:tcMar>
              <w:top w:type="dxa" w:w="80"/>
              <w:left w:type="dxa" w:w="100"/>
              <w:bottom w:type="dxa" w:w="80"/>
              <w:right w:type="dxa" w:w="100"/>
            </w:tcMar>
          </w:tcPr>
          <w:p>
            <w:r>
              <w:rPr>
                <w:b w:val="false"/>
                <w:bCs w:val="false"/>
                <w:sz w:val="20"/>
                <w:szCs w:val="20"/>
              </w:rPr>
              <w:t xml:space="preserve">Graph structure</w:t>
            </w:r>
          </w:p>
        </w:tc>
        <w:tc>
          <w:tcPr>
            <w:tcW w:type="dxa" w:w="1600"/>
            <w:shd w:fill="FFFFFF" w:val="clear"/>
            <w:tcMar>
              <w:top w:type="dxa" w:w="80"/>
              <w:left w:type="dxa" w:w="100"/>
              <w:bottom w:type="dxa" w:w="80"/>
              <w:right w:type="dxa" w:w="100"/>
            </w:tcMar>
          </w:tcPr>
          <w:p>
            <w:r>
              <w:rPr>
                <w:b w:val="false"/>
                <w:bCs w:val="false"/>
                <w:sz w:val="20"/>
                <w:szCs w:val="20"/>
              </w:rPr>
              <w:t xml:space="preserve">networkx</w:t>
            </w:r>
          </w:p>
        </w:tc>
        <w:tc>
          <w:tcPr>
            <w:tcW w:type="dxa" w:w="5560"/>
            <w:shd w:fill="FFFFFF" w:val="clear"/>
            <w:tcMar>
              <w:top w:type="dxa" w:w="80"/>
              <w:left w:type="dxa" w:w="100"/>
              <w:bottom w:type="dxa" w:w="80"/>
              <w:right w:type="dxa" w:w="100"/>
            </w:tcMar>
          </w:tcPr>
          <w:p>
            <w:r>
              <w:rPr>
                <w:b w:val="false"/>
                <w:bCs w:val="false"/>
                <w:sz w:val="20"/>
                <w:szCs w:val="20"/>
              </w:rPr>
              <w:t xml:space="preserve">Lightweight, well-documented DAG representation; plays well with the other two libraries below</w:t>
            </w:r>
          </w:p>
        </w:tc>
      </w:tr>
      <w:tr>
        <w:tc>
          <w:tcPr>
            <w:tcW w:type="dxa" w:w="2200"/>
            <w:shd w:fill="F3F4F6" w:val="clear"/>
            <w:tcMar>
              <w:top w:type="dxa" w:w="80"/>
              <w:left w:type="dxa" w:w="100"/>
              <w:bottom w:type="dxa" w:w="80"/>
              <w:right w:type="dxa" w:w="100"/>
            </w:tcMar>
          </w:tcPr>
          <w:p>
            <w:r>
              <w:rPr>
                <w:b w:val="false"/>
                <w:bCs w:val="false"/>
                <w:sz w:val="20"/>
                <w:szCs w:val="20"/>
              </w:rPr>
              <w:t xml:space="preserve">Bayesian network + inference</w:t>
            </w:r>
          </w:p>
        </w:tc>
        <w:tc>
          <w:tcPr>
            <w:tcW w:type="dxa" w:w="1600"/>
            <w:shd w:fill="F3F4F6" w:val="clear"/>
            <w:tcMar>
              <w:top w:type="dxa" w:w="80"/>
              <w:left w:type="dxa" w:w="100"/>
              <w:bottom w:type="dxa" w:w="80"/>
              <w:right w:type="dxa" w:w="100"/>
            </w:tcMar>
          </w:tcPr>
          <w:p>
            <w:r>
              <w:rPr>
                <w:b w:val="false"/>
                <w:bCs w:val="false"/>
                <w:sz w:val="20"/>
                <w:szCs w:val="20"/>
              </w:rPr>
              <w:t xml:space="preserve">pgmpy</w:t>
            </w:r>
          </w:p>
        </w:tc>
        <w:tc>
          <w:tcPr>
            <w:tcW w:type="dxa" w:w="5560"/>
            <w:shd w:fill="F3F4F6" w:val="clear"/>
            <w:tcMar>
              <w:top w:type="dxa" w:w="80"/>
              <w:left w:type="dxa" w:w="100"/>
              <w:bottom w:type="dxa" w:w="80"/>
              <w:right w:type="dxa" w:w="100"/>
            </w:tcMar>
          </w:tcPr>
          <w:p>
            <w:r>
              <w:rPr>
                <w:b w:val="false"/>
                <w:bCs w:val="false"/>
                <w:sz w:val="20"/>
                <w:szCs w:val="20"/>
              </w:rPr>
              <w:t xml:space="preserve">Pure Python. Defines CPDs by hand today, and later learns them from logged outcome data (MLE / BayesianEstimator) without a rewrite</w:t>
            </w:r>
          </w:p>
        </w:tc>
      </w:tr>
      <w:tr>
        <w:tc>
          <w:tcPr>
            <w:tcW w:type="dxa" w:w="2200"/>
            <w:shd w:fill="FFFFFF" w:val="clear"/>
            <w:tcMar>
              <w:top w:type="dxa" w:w="80"/>
              <w:left w:type="dxa" w:w="100"/>
              <w:bottom w:type="dxa" w:w="80"/>
              <w:right w:type="dxa" w:w="100"/>
            </w:tcMar>
          </w:tcPr>
          <w:p>
            <w:r>
              <w:rPr>
                <w:b w:val="false"/>
                <w:bCs w:val="false"/>
                <w:sz w:val="20"/>
                <w:szCs w:val="20"/>
              </w:rPr>
              <w:t xml:space="preserve">Causal estimation + counterfactuals</w:t>
            </w:r>
          </w:p>
        </w:tc>
        <w:tc>
          <w:tcPr>
            <w:tcW w:type="dxa" w:w="1600"/>
            <w:shd w:fill="FFFFFF" w:val="clear"/>
            <w:tcMar>
              <w:top w:type="dxa" w:w="80"/>
              <w:left w:type="dxa" w:w="100"/>
              <w:bottom w:type="dxa" w:w="80"/>
              <w:right w:type="dxa" w:w="100"/>
            </w:tcMar>
          </w:tcPr>
          <w:p>
            <w:r>
              <w:rPr>
                <w:b w:val="false"/>
                <w:bCs w:val="false"/>
                <w:sz w:val="20"/>
                <w:szCs w:val="20"/>
              </w:rPr>
              <w:t xml:space="preserve">DoWhy</w:t>
            </w:r>
          </w:p>
        </w:tc>
        <w:tc>
          <w:tcPr>
            <w:tcW w:type="dxa" w:w="5560"/>
            <w:shd w:fill="FFFFFF" w:val="clear"/>
            <w:tcMar>
              <w:top w:type="dxa" w:w="80"/>
              <w:left w:type="dxa" w:w="100"/>
              <w:bottom w:type="dxa" w:w="80"/>
              <w:right w:type="dxa" w:w="100"/>
            </w:tcMar>
          </w:tcPr>
          <w:p>
            <w:r>
              <w:rPr>
                <w:b w:val="false"/>
                <w:bCs w:val="false"/>
                <w:sz w:val="20"/>
                <w:szCs w:val="20"/>
              </w:rPr>
              <w:t xml:space="preserve">Purpose-built for "what if" queries (interventions, counterfactuals) and includes refutation tests to check whether an assumed causal edge is actually supported by data, rather than spurious</w:t>
            </w:r>
          </w:p>
        </w:tc>
      </w:tr>
      <w:tr>
        <w:tc>
          <w:tcPr>
            <w:tcW w:type="dxa" w:w="2200"/>
            <w:shd w:fill="F3F4F6" w:val="clear"/>
            <w:tcMar>
              <w:top w:type="dxa" w:w="80"/>
              <w:left w:type="dxa" w:w="100"/>
              <w:bottom w:type="dxa" w:w="80"/>
              <w:right w:type="dxa" w:w="100"/>
            </w:tcMar>
          </w:tcPr>
          <w:p>
            <w:r>
              <w:rPr>
                <w:b w:val="false"/>
                <w:bCs w:val="false"/>
                <w:sz w:val="20"/>
                <w:szCs w:val="20"/>
              </w:rPr>
              <w:t xml:space="preserve">Narrative layer (later)</w:t>
            </w:r>
          </w:p>
        </w:tc>
        <w:tc>
          <w:tcPr>
            <w:tcW w:type="dxa" w:w="1600"/>
            <w:shd w:fill="F3F4F6" w:val="clear"/>
            <w:tcMar>
              <w:top w:type="dxa" w:w="80"/>
              <w:left w:type="dxa" w:w="100"/>
              <w:bottom w:type="dxa" w:w="80"/>
              <w:right w:type="dxa" w:w="100"/>
            </w:tcMar>
          </w:tcPr>
          <w:p>
            <w:r>
              <w:rPr>
                <w:b w:val="false"/>
                <w:bCs w:val="false"/>
                <w:sz w:val="20"/>
                <w:szCs w:val="20"/>
              </w:rPr>
              <w:t xml:space="preserve">LLM, RAG-style</w:t>
            </w:r>
          </w:p>
        </w:tc>
        <w:tc>
          <w:tcPr>
            <w:tcW w:type="dxa" w:w="5560"/>
            <w:shd w:fill="F3F4F6" w:val="clear"/>
            <w:tcMar>
              <w:top w:type="dxa" w:w="80"/>
              <w:left w:type="dxa" w:w="100"/>
              <w:bottom w:type="dxa" w:w="80"/>
              <w:right w:type="dxa" w:w="100"/>
            </w:tcMar>
          </w:tcPr>
          <w:p>
            <w:r>
              <w:rPr>
                <w:b w:val="false"/>
                <w:bCs w:val="false"/>
                <w:sz w:val="20"/>
                <w:szCs w:val="20"/>
              </w:rPr>
              <w:t xml:space="preserve">Only narrates the structured output of the layers above — should not be doing the fit reasoning itself</w:t>
            </w:r>
          </w:p>
        </w:tc>
      </w:tr>
    </w:tbl>
    <w:p>
      <w:pPr>
        <w:pStyle w:val="Heading1"/>
        <w:spacing w:after="150" w:before="300"/>
      </w:pPr>
      <w:r>
        <w:t xml:space="preserve">Implementation phasing</w:t>
      </w:r>
    </w:p>
    <w:p>
      <w:pPr>
        <w:spacing w:after="160"/>
      </w:pPr>
      <w:r>
        <w:t xml:space="preserve">Phase 0 (tomorrow): a single vertical slice — the autonomy dimension only, hand-specified CPDs, run end to end to prove the pipeline shape. Attached: autonomy_fit_model.py.</w:t>
      </w:r>
    </w:p>
    <w:p>
      <w:pPr>
        <w:spacing w:after="160"/>
      </w:pPr>
      <w:r>
        <w:t xml:space="preserve">Phase 1: expand to the pace and feedback dimensions; combine three Fit nodes into one Engagement node, matching the full graph above.</w:t>
      </w:r>
    </w:p>
    <w:p>
      <w:pPr>
        <w:spacing w:after="160"/>
      </w:pPr>
      <w:r>
        <w:t xml:space="preserve">Phase 2: start logging real signals from Reflection, Work Pulse, CompanyLens, and ManagerMatch even before the model uses them for live scoring — you need this dataset before Phase 3 is possible.</w:t>
      </w:r>
    </w:p>
    <w:p>
      <w:pPr>
        <w:spacing w:after="160"/>
      </w:pPr>
      <w:r>
        <w:t xml:space="preserve">Phase 3: replace hand-specified CPDs with pgmpy's parameter learning, fit on logged outcomes.</w:t>
      </w:r>
    </w:p>
    <w:p>
      <w:pPr>
        <w:spacing w:after="160"/>
      </w:pPr>
      <w:r>
        <w:t xml:space="preserve">Phase 4: layer DoWhy on top for intervention/counterfactual queries ("would guidance have differed under a different manager") and run its refutation tests against the causal structure itself.</w:t>
      </w:r>
    </w:p>
    <w:p>
      <w:pPr>
        <w:spacing w:after="160"/>
      </w:pPr>
      <w:r>
        <w:t xml:space="preserve">Phase 5: Narrative Intelligence — an LLM grounded on the structured Fit/Engagement output, producing the human-readable explanation.</w:t>
      </w:r>
    </w:p>
    <w:p>
      <w:pPr>
        <w:pStyle w:val="Heading1"/>
        <w:spacing w:after="150" w:before="300"/>
      </w:pPr>
      <w:r>
        <w:t xml:space="preserve">Tomorrow's starter code</w:t>
      </w:r>
    </w:p>
    <w:p>
      <w:pPr>
        <w:spacing w:after="160"/>
      </w:pPr>
      <w:r>
        <w:t xml:space="preserve">autonomy_fit_model.py implements Phase 0 with pgmpy: a 5-node network (P_Autonomy, E_ManagerStyle, Fit_Autonomy, Engagement, Guidance) with hand-elicited CPDs, verified to run. Sample output — the same person trait (high need for autonomy) produces different guidance depending on the environment, which is the entire point: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P(Guidance | High autonomy need, Controlling manager):</w:t>
      </w:r>
      <w:r>
        <w:br/>
      </w:r>
      <w:r>
        <w:rPr>
          <w:rFonts w:ascii="Consolas" w:cs="Consolas" w:eastAsia="Consolas" w:hAnsi="Consolas"/>
          <w:sz w:val="18"/>
          <w:szCs w:val="18"/>
        </w:rPr>
        <w:t xml:space="preserve">  Reconsider : 0.589   Proceed : 0.411</w:t>
      </w:r>
      <w:r>
        <w:br/>
      </w:r>
      <w:r>
        <w:rPr>
          <w:rFonts w:ascii="Consolas" w:cs="Consolas" w:eastAsia="Consolas" w:hAnsi="Consolas"/>
          <w:sz w:val="18"/>
          <w:szCs w:val="18"/>
        </w:rPr>
        <w:t xml:space="preserve"/>
      </w:r>
      <w:r>
        <w:br/>
      </w:r>
      <w:r>
        <w:rPr>
          <w:rFonts w:ascii="Consolas" w:cs="Consolas" w:eastAsia="Consolas" w:hAnsi="Consolas"/>
          <w:sz w:val="18"/>
          <w:szCs w:val="18"/>
        </w:rPr>
        <w:t xml:space="preserve">P(Guidance | High autonomy need, Empowering manager):</w:t>
      </w:r>
      <w:r>
        <w:br/>
      </w:r>
      <w:r>
        <w:rPr>
          <w:rFonts w:ascii="Consolas" w:cs="Consolas" w:eastAsia="Consolas" w:hAnsi="Consolas"/>
          <w:sz w:val="18"/>
          <w:szCs w:val="18"/>
        </w:rPr>
        <w:t xml:space="preserve">  Reconsider : 0.345   Proceed : 0.655</w:t>
      </w:r>
    </w:p>
    <w:p>
      <w:pPr>
        <w:spacing w:after="160"/>
      </w:pPr>
      <w:r>
        <w:t xml:space="preserve">Same person, different environment, different guidance — produced by an explicit causal mechanism (Fit_Autonomy) you can inspect, not a black-box similarity score. That inspectability is what makes the output "explainable" in the sense your architecture doc already promises.</w:t>
      </w:r>
    </w:p>
    <w:p>
      <w:pPr>
        <w:pStyle w:val="Heading1"/>
        <w:spacing w:after="150" w:before="300"/>
      </w:pPr>
      <w:r>
        <w:t xml:space="preserve">Open questions for tonight's call</w:t>
      </w:r>
    </w:p>
    <w:p>
      <w:pPr>
        <w:spacing w:after="160"/>
      </w:pPr>
      <w:r>
        <w:t xml:space="preserve">Does Reflection actually capture these traits as clean discrete states (Low/High), or is the real data messier / more continuous than a first-draft binary model assumes?</w:t>
      </w:r>
    </w:p>
    <w:p>
      <w:pPr>
        <w:spacing w:after="160"/>
      </w:pPr>
      <w:r>
        <w:t xml:space="preserve">Are you comfortable hand-eliciting the initial causal structure and CPDs yourselves, or does this need a domain expert (an I/O psychologist) to sanity-check the edges before they ship in any form to users?</w:t>
      </w:r>
    </w:p>
    <w:p>
      <w:pPr>
        <w:spacing w:after="160"/>
      </w:pPr>
      <w:r>
        <w:t xml:space="preserve">How will Solverah capture ground-truth outcome data — did this person actually thrive — since the entire model stays speculative until Phase 3 has real data to learn from?</w:t>
      </w:r>
    </w:p>
    <w:p>
      <w:pPr>
        <w:spacing w:after="160"/>
      </w:pPr>
      <w:r>
        <w:t xml:space="preserve">Is binary (Low/High) per trait an acceptable v1 simplification, or does it undercut the "continuously evolving profile, no premature scoring" claim enough that you need ordinal or continuous states from day one?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cffee878476fd986270d81528daa9661307f4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2026-07-21T14:13:50.497Z</dcterms:created>
  <dcterms:modified xsi:type="dcterms:W3CDTF">2026-07-21T14:13:50.497Z</dcterms:modified>
</cp:coreProperties>
</file>

<file path=docProps/custom.xml><?xml version="1.0" encoding="utf-8"?>
<Properties xmlns="http://schemas.openxmlformats.org/officeDocument/2006/custom-properties" xmlns:vt="http://schemas.openxmlformats.org/officeDocument/2006/docPropsVTypes"/>
</file>