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4F4A"/>
          <w:sz w:val="36"/>
          <w:szCs w:val="36"/>
        </w:rPr>
        <w:t xml:space="preserve">Company scoring rubric — anchors_v3</w:t>
      </w:r>
    </w:p>
    <w:p>
      <w:pPr>
        <w:spacing w:after="40"/>
      </w:pPr>
      <w:r>
        <w:rPr>
          <w:caps w:val="false"/>
          <w:color w:val="595959"/>
          <w:sz w:val="19"/>
          <w:szCs w:val="19"/>
        </w:rPr>
        <w:t xml:space="preserve">PROPOSED, NOT ADOPTED  ·  v3-PROPOSED-2026-08-17</w:t>
      </w:r>
    </w:p>
    <w:p>
      <w:pPr>
        <w:spacing w:after="130" w:line="290"/>
      </w:pPr>
      <w:r>
        <w:rPr>
          <w:color w:val="595959"/>
          <w:sz w:val="20"/>
          <w:szCs w:val="20"/>
        </w:rPr>
        <w:t xml:space="preserve">This is the full rubric as proposed. Every field is shown; the ones that differ from the frozen version round 1 was scored against are marked </w:t>
      </w:r>
      <w:r>
        <w:rPr>
          <w:b/>
          <w:bCs/>
          <w:color w:val="A0522D"/>
          <w:sz w:val="20"/>
          <w:szCs w:val="20"/>
        </w:rPr>
        <w:t xml:space="preserve">changed</w:t>
      </w:r>
      <w:r>
        <w:rPr>
          <w:color w:val="595959"/>
          <w:sz w:val="20"/>
          <w:szCs w:val="20"/>
        </w:rPr>
        <w:t xml:space="preserve"> and show the previous wording beneath. The frozen </w:t>
      </w:r>
      <w:r>
        <w:rPr>
          <w:rFonts w:ascii="Consolas" w:cs="Consolas" w:eastAsia="Consolas" w:hAnsi="Consolas"/>
          <w:color w:val="595959"/>
          <w:sz w:val="20"/>
          <w:szCs w:val="20"/>
        </w:rPr>
        <w:t xml:space="preserve">anchors.json</w:t>
      </w:r>
      <w:r>
        <w:rPr>
          <w:color w:val="595959"/>
          <w:sz w:val="20"/>
          <w:szCs w:val="20"/>
        </w:rPr>
        <w:t xml:space="preserve"> (v1-frozen-2026-08-15) is untouched.</w:t>
      </w:r>
    </w:p>
    <w:p>
      <w:pPr>
        <w:pBdr>
          <w:bottom w:val="single" w:color="C8C8C8" w:sz="6" w:space="1"/>
        </w:pBdr>
        <w:spacing w:after="180" w:before="180"/>
      </w:pPr>
      <w:r>
        <w:t xml:space="preserve"/>
      </w:r>
    </w:p>
    <w:p>
      <w:pPr>
        <w:pStyle w:val="Heading1"/>
        <w:spacing w:after="150" w:before="400"/>
      </w:pPr>
      <w:r>
        <w:rPr>
          <w:b/>
          <w:bCs/>
          <w:color w:val="2F4F4A"/>
          <w:sz w:val="30"/>
          <w:szCs w:val="30"/>
        </w:rPr>
        <w:t xml:space="preserve">What changed, at a glance</w:t>
      </w:r>
    </w:p>
    <w:p>
      <w:pPr>
        <w:pStyle w:val="ListParagraph"/>
        <w:numPr>
          <w:ilvl w:val="0"/>
          <w:numId w:val="2"/>
        </w:numPr>
        <w:spacing w:after="100" w:line="290"/>
      </w:pPr>
      <w:r>
        <w:rPr>
          <w:b/>
          <w:bCs/>
        </w:rPr>
        <w:t xml:space="preserve">Autonomy — </w:t>
      </w:r>
      <w:r>
        <w:t xml:space="preserve">keep-distinct guardrail</w:t>
      </w:r>
    </w:p>
    <w:p>
      <w:pPr>
        <w:pStyle w:val="ListParagraph"/>
        <w:numPr>
          <w:ilvl w:val="0"/>
          <w:numId w:val="2"/>
        </w:numPr>
        <w:spacing w:after="100" w:line="290"/>
      </w:pPr>
      <w:r>
        <w:rPr>
          <w:b/>
          <w:bCs/>
        </w:rPr>
        <w:t xml:space="preserve">Collaboration — </w:t>
      </w:r>
      <w:r>
        <w:t xml:space="preserve">keep-distinct guardrail; where to look; band text at 0.1, 0.3</w:t>
      </w:r>
    </w:p>
    <w:p>
      <w:pPr>
        <w:pStyle w:val="ListParagraph"/>
        <w:numPr>
          <w:ilvl w:val="0"/>
          <w:numId w:val="2"/>
        </w:numPr>
        <w:spacing w:after="100" w:line="290"/>
      </w:pPr>
      <w:r>
        <w:rPr>
          <w:b/>
          <w:bCs/>
        </w:rPr>
        <w:t xml:space="preserve">Feedback Culture — </w:t>
      </w:r>
      <w:r>
        <w:t xml:space="preserve">keep-distinct guardrail; where to look; band text at 0.1, 0.3</w:t>
      </w:r>
    </w:p>
    <w:p>
      <w:pPr>
        <w:pStyle w:val="ListParagraph"/>
        <w:numPr>
          <w:ilvl w:val="0"/>
          <w:numId w:val="2"/>
        </w:numPr>
        <w:spacing w:after="100" w:line="290"/>
      </w:pPr>
      <w:r>
        <w:rPr>
          <w:b/>
          <w:bCs/>
        </w:rPr>
        <w:t xml:space="preserve">Innovation Stance — </w:t>
      </w:r>
      <w:r>
        <w:t xml:space="preserve">keep-distinct guardrail; where to look; band text at 0.1, 0.3</w:t>
      </w:r>
    </w:p>
    <w:p>
      <w:pPr>
        <w:pStyle w:val="ListParagraph"/>
        <w:numPr>
          <w:ilvl w:val="0"/>
          <w:numId w:val="2"/>
        </w:numPr>
        <w:spacing w:after="100" w:line="290"/>
      </w:pPr>
      <w:r>
        <w:rPr>
          <w:b/>
          <w:bCs/>
        </w:rPr>
        <w:t xml:space="preserve">Decision Basis — </w:t>
      </w:r>
      <w:r>
        <w:t xml:space="preserve">keep-distinct guardrail; where to look; band text at 0.5</w:t>
      </w:r>
    </w:p>
    <w:p>
      <w:pPr>
        <w:spacing w:after="130" w:line="290"/>
      </w:pPr>
      <w:r>
        <w:rPr>
          <w:color w:val="595959"/>
          <w:sz w:val="20"/>
          <w:szCs w:val="20"/>
        </w:rPr>
        <w:t xml:space="preserve">Everything not listed above — the six gates, the four confidence bands, the band values and the agreement rule — is byte-identical to the frozen version.</w:t>
      </w:r>
    </w:p>
    <w:p>
      <w:pPr>
        <w:pBdr>
          <w:bottom w:val="single" w:color="C8C8C8" w:sz="6" w:space="1"/>
        </w:pBdr>
        <w:spacing w:after="180" w:before="180"/>
      </w:pPr>
      <w:r>
        <w:t xml:space="preserve"/>
      </w:r>
    </w:p>
    <w:p>
      <w:pPr>
        <w:pStyle w:val="Heading1"/>
        <w:spacing w:after="150" w:before="400"/>
      </w:pPr>
      <w:r>
        <w:rPr>
          <w:b/>
          <w:bCs/>
          <w:color w:val="2F4F4A"/>
          <w:sz w:val="30"/>
          <w:szCs w:val="30"/>
        </w:rPr>
        <w:t xml:space="preserve">Scoring gates</w:t>
      </w:r>
    </w:p>
    <w:p>
      <w:pPr>
        <w:spacing w:after="130" w:line="290"/>
      </w:pPr>
      <w:r>
        <w:rPr>
          <w:i/>
          <w:iCs/>
          <w:color w:val="595959"/>
          <w:sz w:val="19"/>
          <w:szCs w:val="19"/>
        </w:rPr>
        <w:t xml:space="preserve">Unchanged. These apply to every dimension.</w:t>
      </w:r>
    </w:p>
    <w:p>
      <w:pPr>
        <w:pStyle w:val="ListParagraph"/>
        <w:numPr>
          <w:ilvl w:val="0"/>
          <w:numId w:val="2"/>
        </w:numPr>
        <w:spacing w:after="100" w:line="290"/>
      </w:pPr>
      <w:r>
        <w:rPr>
          <w:b/>
          <w:bCs/>
        </w:rPr>
        <w:t xml:space="preserve">1. </w:t>
      </w:r>
      <w:r>
        <w:t xml:space="preserve">Neither pole is better. Every dimension runs between two legitimate cultures. “Directed” is not worse than “self-directed.” If you catch yourself scoring toward the pole you personally prefer, stop — that is bias, not signal.</w:t>
      </w:r>
    </w:p>
    <w:p>
      <w:pPr>
        <w:pStyle w:val="ListParagraph"/>
        <w:numPr>
          <w:ilvl w:val="0"/>
          <w:numId w:val="2"/>
        </w:numPr>
        <w:spacing w:after="100" w:line="290"/>
      </w:pPr>
      <w:r>
        <w:rPr>
          <w:b/>
          <w:bCs/>
        </w:rPr>
        <w:t xml:space="preserve">2. </w:t>
      </w:r>
      <w:r>
        <w:t xml:space="preserve">Score the company as it is, not as you would like it. You are describing a culture, not grading it. Aspirational careers-page copy is weak evidence; how people describe daily reality is strong evidence.</w:t>
      </w:r>
    </w:p>
    <w:p>
      <w:pPr>
        <w:pStyle w:val="ListParagraph"/>
        <w:numPr>
          <w:ilvl w:val="0"/>
          <w:numId w:val="2"/>
        </w:numPr>
        <w:spacing w:after="100" w:line="290"/>
      </w:pPr>
      <w:r>
        <w:rPr>
          <w:b/>
          <w:bCs/>
        </w:rPr>
        <w:t xml:space="preserve">3. </w:t>
      </w:r>
      <w:r>
        <w:t xml:space="preserve">Kill the halo. A well-liked brand tends to drag every score toward “good.” Score each dimension only from evidence about that dimension.</w:t>
      </w:r>
    </w:p>
    <w:p>
      <w:pPr>
        <w:pStyle w:val="ListParagraph"/>
        <w:numPr>
          <w:ilvl w:val="0"/>
          <w:numId w:val="2"/>
        </w:numPr>
        <w:spacing w:after="100" w:line="290"/>
      </w:pPr>
      <w:r>
        <w:rPr>
          <w:b/>
          <w:bCs/>
        </w:rPr>
        <w:t xml:space="preserve">4. </w:t>
      </w:r>
      <w:r>
        <w:t xml:space="preserve">Evidence over gut. If you cannot point to a line in the packet that supports the number, lower your confidence. A guess dressed as a 0.9 poisons the ground truth more than an honest 0.5 at low confidence.</w:t>
      </w:r>
    </w:p>
    <w:p>
      <w:pPr>
        <w:pStyle w:val="ListParagraph"/>
        <w:numPr>
          <w:ilvl w:val="0"/>
          <w:numId w:val="2"/>
        </w:numPr>
        <w:spacing w:after="100" w:line="290"/>
      </w:pPr>
      <w:r>
        <w:rPr>
          <w:b/>
          <w:bCs/>
        </w:rPr>
        <w:t xml:space="preserve">5. </w:t>
      </w:r>
      <w:r>
        <w:t xml:space="preserve">Stale culture is wrong culture. Prefer recent evidence. Where the packet flags an evidence-age problem, let it lower your confidence.</w:t>
      </w:r>
    </w:p>
    <w:p>
      <w:pPr>
        <w:pStyle w:val="ListParagraph"/>
        <w:numPr>
          <w:ilvl w:val="0"/>
          <w:numId w:val="2"/>
        </w:numPr>
        <w:spacing w:after="100" w:line="290"/>
      </w:pPr>
      <w:r>
        <w:rPr>
          <w:b/>
          <w:bCs/>
        </w:rPr>
        <w:t xml:space="preserve">6. </w:t>
      </w:r>
      <w:r>
        <w:t xml:space="preserve">Do not search for anything in this packet. If you recognise the company, that is expected and is not a failure — tick the recognition box and keep scoring from the evidence in front of you.</w:t>
      </w:r>
    </w:p>
    <w:p>
      <w:pPr>
        <w:pStyle w:val="Heading1"/>
        <w:spacing w:after="150" w:before="400"/>
      </w:pPr>
      <w:r>
        <w:rPr>
          <w:b/>
          <w:bCs/>
          <w:color w:val="2F4F4A"/>
          <w:sz w:val="30"/>
          <w:szCs w:val="30"/>
        </w:rPr>
        <w:t xml:space="preserve">Confidence bands</w:t>
      </w:r>
    </w:p>
    <w:p>
      <w:pPr>
        <w:spacing w:after="130" w:line="290"/>
      </w:pPr>
      <w:r>
        <w:rPr>
          <w:i/>
          <w:iCs/>
          <w:color w:val="595959"/>
          <w:sz w:val="19"/>
          <w:szCs w:val="19"/>
        </w:rPr>
        <w:t xml:space="preserve">Unchanged.</w:t>
      </w:r>
    </w:p>
    <w:p>
      <w:pPr>
        <w:pStyle w:val="ListParagraph"/>
        <w:numPr>
          <w:ilvl w:val="0"/>
          <w:numId w:val="2"/>
        </w:numPr>
        <w:spacing w:after="100" w:line="290"/>
      </w:pPr>
      <w:r>
        <w:rPr>
          <w:b/>
          <w:bCs/>
        </w:rPr>
        <w:t xml:space="preserve">0.9  High — </w:t>
      </w:r>
      <w:r>
        <w:t xml:space="preserve">Multiple corroborating sources of different types all point the same way.</w:t>
      </w:r>
    </w:p>
    <w:p>
      <w:pPr>
        <w:pStyle w:val="ListParagraph"/>
        <w:numPr>
          <w:ilvl w:val="0"/>
          <w:numId w:val="2"/>
        </w:numPr>
        <w:spacing w:after="100" w:line="290"/>
      </w:pPr>
      <w:r>
        <w:rPr>
          <w:b/>
          <w:bCs/>
        </w:rPr>
        <w:t xml:space="preserve">0.6  Medium — </w:t>
      </w:r>
      <w:r>
        <w:t xml:space="preserve">Some real evidence but from one source type, or sources partly conflict. A defensible read, not a certain one.</w:t>
      </w:r>
    </w:p>
    <w:p>
      <w:pPr>
        <w:pStyle w:val="ListParagraph"/>
        <w:numPr>
          <w:ilvl w:val="0"/>
          <w:numId w:val="2"/>
        </w:numPr>
        <w:spacing w:after="100" w:line="290"/>
      </w:pPr>
      <w:r>
        <w:rPr>
          <w:b/>
          <w:bCs/>
        </w:rPr>
        <w:t xml:space="preserve">0.3  Low — </w:t>
      </w:r>
      <w:r>
        <w:t xml:space="preserve">Thin or indirect evidence — a single ambiguous signal. You can defend a direction, but only weakly.</w:t>
      </w:r>
    </w:p>
    <w:p>
      <w:pPr>
        <w:pStyle w:val="ListParagraph"/>
        <w:numPr>
          <w:ilvl w:val="0"/>
          <w:numId w:val="2"/>
        </w:numPr>
        <w:spacing w:after="100" w:line="290"/>
      </w:pPr>
      <w:r>
        <w:rPr>
          <w:b/>
          <w:bCs/>
        </w:rPr>
        <w:t xml:space="preserve">0.1  Very low — </w:t>
      </w:r>
      <w:r>
        <w:t xml:space="preserve">Almost nothing in the packet bears on this dimension. You are close to guessing.</w:t>
      </w:r>
    </w:p>
    <w:p>
      <w:pPr>
        <w:pStyle w:val="Heading1"/>
        <w:spacing w:after="150" w:before="400"/>
      </w:pPr>
      <w:r>
        <w:rPr>
          <w:b/>
          <w:bCs/>
          <w:color w:val="2F4F4A"/>
          <w:sz w:val="30"/>
          <w:szCs w:val="30"/>
        </w:rPr>
        <w:t xml:space="preserve">Agreement rule</w:t>
      </w:r>
    </w:p>
    <w:p>
      <w:pPr>
        <w:pStyle w:val="ListParagraph"/>
        <w:numPr>
          <w:ilvl w:val="0"/>
          <w:numId w:val="2"/>
        </w:numPr>
        <w:spacing w:after="100" w:line="290"/>
      </w:pPr>
      <w:r>
        <w:rPr>
          <w:b/>
          <w:bCs/>
        </w:rPr>
        <w:t xml:space="preserve">same band — </w:t>
      </w:r>
      <w:r>
        <w:t xml:space="preserve">agreement</w:t>
      </w:r>
    </w:p>
    <w:p>
      <w:pPr>
        <w:pStyle w:val="ListParagraph"/>
        <w:numPr>
          <w:ilvl w:val="0"/>
          <w:numId w:val="2"/>
        </w:numPr>
        <w:spacing w:after="100" w:line="290"/>
      </w:pPr>
      <w:r>
        <w:rPr>
          <w:b/>
          <w:bCs/>
        </w:rPr>
        <w:t xml:space="preserve">one band apart — </w:t>
      </w:r>
      <w:r>
        <w:t xml:space="preserve">expected instrument resolution, not ambiguity</w:t>
      </w:r>
    </w:p>
    <w:p>
      <w:pPr>
        <w:pStyle w:val="ListParagraph"/>
        <w:numPr>
          <w:ilvl w:val="0"/>
          <w:numId w:val="2"/>
        </w:numPr>
        <w:spacing w:after="100" w:line="290"/>
      </w:pPr>
      <w:r>
        <w:rPr>
          <w:b/>
          <w:bCs/>
        </w:rPr>
        <w:t xml:space="preserve">two or more bands apart — </w:t>
      </w:r>
      <w:r>
        <w:t xml:space="preserve">anchor ambiguity - reword, do not average</w:t>
      </w:r>
    </w:p>
    <w:p>
      <w:pPr>
        <w:pBdr>
          <w:bottom w:val="single" w:color="C8C8C8" w:sz="6" w:space="1"/>
        </w:pBdr>
        <w:spacing w:after="180" w:before="180"/>
      </w:pPr>
      <w:r>
        <w:t xml:space="preserve"/>
      </w:r>
    </w:p>
    <w:p>
      <w:pPr>
        <w:pStyle w:val="Heading1"/>
        <w:spacing w:after="60" w:before="340"/>
      </w:pPr>
      <w:r>
        <w:rPr>
          <w:b/>
          <w:bCs/>
          <w:color w:val="2F4F4A"/>
          <w:sz w:val="30"/>
          <w:szCs w:val="30"/>
        </w:rPr>
        <w:t xml:space="preserve">Autonomy</w:t>
      </w:r>
      <w:r>
        <w:rPr>
          <w:b/>
          <w:bCs/>
          <w:color w:val="A0522D"/>
          <w:sz w:val="17"/>
          <w:szCs w:val="17"/>
        </w:rPr>
        <w:t xml:space="preserve">    changed</w:t>
      </w:r>
    </w:p>
    <w:p>
      <w:pPr>
        <w:spacing w:after="150"/>
      </w:pPr>
      <w:r>
        <w:rPr>
          <w:b/>
          <w:bCs/>
          <w:sz w:val="21"/>
          <w:szCs w:val="21"/>
        </w:rPr>
        <w:t xml:space="preserve">Directed</w:t>
      </w:r>
      <w:r>
        <w:rPr>
          <w:color w:val="595959"/>
          <w:sz w:val="19"/>
          <w:szCs w:val="19"/>
        </w:rPr>
        <w:t xml:space="preserve">  (0.1)</w:t>
      </w:r>
      <w:r>
        <w:rPr>
          <w:b/>
          <w:bCs/>
          <w:color w:val="2F4F4A"/>
          <w:sz w:val="21"/>
          <w:szCs w:val="21"/>
        </w:rPr>
        <w:t xml:space="preserve">   →   </w:t>
      </w:r>
      <w:r>
        <w:rPr>
          <w:b/>
          <w:bCs/>
          <w:sz w:val="21"/>
          <w:szCs w:val="21"/>
        </w:rPr>
        <w:t xml:space="preserve">Self-directed</w:t>
      </w:r>
      <w:r>
        <w:rPr>
          <w:color w:val="595959"/>
          <w:sz w:val="19"/>
          <w:szCs w:val="19"/>
        </w:rPr>
        <w:t xml:space="preserve">  (0.9)</w:t>
      </w:r>
    </w:p>
    <w:p>
      <w:pPr>
        <w:spacing w:after="40" w:before="170"/>
      </w:pPr>
      <w:r>
        <w:rPr>
          <w:b/>
          <w:bCs/>
          <w:caps/>
          <w:color w:val="595959"/>
          <w:sz w:val="19"/>
          <w:szCs w:val="19"/>
        </w:rPr>
        <w:t xml:space="preserve">Measures</w:t>
      </w:r>
    </w:p>
    <w:p>
      <w:pPr>
        <w:spacing w:after="120" w:line="290"/>
      </w:pPr>
      <w:r>
        <w:rPr>
          <w:i w:val="false"/>
          <w:iCs w:val="false"/>
          <w:color w:val="1A1A1A"/>
          <w:sz w:val="20"/>
          <w:szCs w:val="20"/>
        </w:rPr>
        <w:t xml:space="preserve">How much latitude individuals have to set their own approach, priorities and decisions, vs. following assigned direction, defined process and approval chains.</w:t>
      </w:r>
    </w:p>
    <w:p>
      <w:pPr>
        <w:spacing w:after="40" w:before="170"/>
      </w:pPr>
      <w:r>
        <w:rPr>
          <w:b/>
          <w:bCs/>
          <w:caps/>
          <w:color w:val="595959"/>
          <w:sz w:val="19"/>
          <w:szCs w:val="19"/>
        </w:rPr>
        <w:t xml:space="preserve">Where to look</w:t>
      </w:r>
    </w:p>
    <w:p>
      <w:pPr>
        <w:spacing w:after="120" w:line="290"/>
      </w:pPr>
      <w:r>
        <w:rPr>
          <w:i w:val="false"/>
          <w:iCs w:val="false"/>
          <w:color w:val="1A1A1A"/>
          <w:sz w:val="20"/>
          <w:szCs w:val="20"/>
        </w:rPr>
        <w:t xml:space="preserve">Job-post verbs (“execute against the roadmap” vs. “own your domain end-to-end”), number of approval layers, presence of detailed SOP/process docs, review mentions of micromanagement vs. freedom, IC decision rights, remote-trust language.</w:t>
      </w:r>
    </w:p>
    <w:p>
      <w:pPr>
        <w:spacing w:after="40" w:before="170"/>
      </w:pPr>
      <w:r>
        <w:rPr>
          <w:b/>
          <w:bCs/>
          <w:caps/>
          <w:color w:val="595959"/>
          <w:sz w:val="19"/>
          <w:szCs w:val="19"/>
        </w:rPr>
        <w:t xml:space="preserve">Keep distinct</w:t>
      </w:r>
      <w:r>
        <w:rPr>
          <w:b/>
          <w:bCs/>
          <w:color w:val="A0522D"/>
          <w:sz w:val="16"/>
          <w:szCs w:val="16"/>
        </w:rPr>
        <w:t xml:space="preserve">   ·  changed</w:t>
      </w:r>
    </w:p>
    <w:p>
      <w:pPr>
        <w:spacing w:after="120" w:line="290"/>
      </w:pPr>
      <w:r>
        <w:rPr>
          <w:i w:val="false"/>
          <w:iCs w:val="false"/>
          <w:color w:val="1A1A1A"/>
          <w:sz w:val="20"/>
          <w:szCs w:val="20"/>
        </w:rPr>
        <w:t xml:space="preserve">Not the same as Collaboration. A person can be highly self-directed AND work collectively. Autonomy is about who decides the how; Collaboration is about alone vs. together — score meeting and pairing density there, never here. Not the same as Innovation either: a prescribed method can produce novel work and a self-directed team can spend all its time optimizing.</w:t>
      </w:r>
    </w:p>
    <w:p>
      <w:pPr>
        <w:pBdr>
          <w:left w:val="single" w:color="C8C8C8" w:sz="8" w:space="10"/>
        </w:pBdr>
        <w:spacing w:after="100" w:line="280"/>
        <w:ind w:left="431"/>
      </w:pPr>
      <w:r>
        <w:rPr>
          <w:i/>
          <w:iCs/>
          <w:color w:val="595959"/>
          <w:sz w:val="17"/>
          <w:szCs w:val="17"/>
        </w:rPr>
        <w:t xml:space="preserve">Not the same as Collaboration. A person can be highly self-directed AND work collectively. Autonomy is about who decides the how; Collaboration is about alone vs. together.</w:t>
      </w:r>
    </w:p>
    <w:p>
      <w:pPr>
        <w:spacing w:after="40" w:before="150"/>
      </w:pPr>
      <w:r>
        <w:rPr>
          <w:b/>
          <w:bCs/>
          <w:caps/>
          <w:color w:val="595959"/>
          <w:sz w:val="19"/>
          <w:szCs w:val="19"/>
        </w:rPr>
        <w:t xml:space="preserve">Score bands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600"/>
      </w:tblGrid>
      <w:tr>
        <w:trPr>
          <w:tblHeader/>
        </w:trPr>
        <w:tc>
          <w:tcPr>
            <w:tcW w:type="dxa" w:w="900"/>
            <w:shd w:fill="EEF2F1" w:color="auto" w:val="clear"/>
            <w:tcMar>
              <w:top w:type="dxa" w:w="100"/>
              <w:left w:type="dxa" w:w="120"/>
              <w:bottom w:type="dxa" w:w="100"/>
              <w:right w:type="dxa" w:w="120"/>
            </w:tcMar>
          </w:tcPr>
          <w:p>
            <w:r>
              <w:rPr>
                <w:b/>
                <w:bCs/>
                <w:sz w:val="18"/>
                <w:szCs w:val="18"/>
              </w:rPr>
              <w:t xml:space="preserve">Band</w:t>
            </w:r>
          </w:p>
        </w:tc>
        <w:tc>
          <w:tcPr>
            <w:tcW w:type="dxa" w:w="1500"/>
            <w:shd w:fill="EEF2F1" w:color="auto" w:val="clear"/>
            <w:tcMar>
              <w:top w:type="dxa" w:w="100"/>
              <w:left w:type="dxa" w:w="120"/>
              <w:bottom w:type="dxa" w:w="100"/>
              <w:right w:type="dxa" w:w="120"/>
            </w:tcMar>
          </w:tcPr>
          <w:p>
            <w:r>
              <w:rPr>
                <w:b/>
                <w:bCs/>
                <w:sz w:val="18"/>
                <w:szCs w:val="18"/>
              </w:rPr>
              <w:t xml:space="preserve">Reads as</w:t>
            </w:r>
          </w:p>
        </w:tc>
        <w:tc>
          <w:tcPr>
            <w:tcW w:type="dxa" w:w="6600"/>
            <w:shd w:fill="EEF2F1" w:color="auto" w:val="clear"/>
            <w:tcMar>
              <w:top w:type="dxa" w:w="100"/>
              <w:left w:type="dxa" w:w="120"/>
              <w:bottom w:type="dxa" w:w="100"/>
              <w:right w:type="dxa" w:w="120"/>
            </w:tcMar>
          </w:tcPr>
          <w:p>
            <w:r>
              <w:rPr>
                <w:b/>
                <w:bCs/>
                <w:sz w:val="18"/>
                <w:szCs w:val="18"/>
              </w:rPr>
              <w:t xml:space="preserve">Description</w:t>
            </w:r>
          </w:p>
        </w:tc>
      </w:tr>
      <w:tr>
        <w:tc>
          <w:tcPr>
            <w:tcW w:type="dxa" w:w="900"/>
            <w:tcMar>
              <w:top w:type="dxa" w:w="100"/>
              <w:left w:type="dxa" w:w="120"/>
              <w:bottom w:type="dxa" w:w="100"/>
              <w:right w:type="dxa" w:w="120"/>
            </w:tcMar>
          </w:tcPr>
          <w:p>
            <w:r>
              <w:rPr>
                <w:b/>
                <w:bCs/>
                <w:sz w:val="18"/>
                <w:szCs w:val="18"/>
              </w:rPr>
              <w:t xml:space="preserve">0.1</w:t>
            </w:r>
          </w:p>
        </w:tc>
        <w:tc>
          <w:tcPr>
            <w:tcW w:type="dxa" w:w="1500"/>
            <w:tcMar>
              <w:top w:type="dxa" w:w="100"/>
              <w:left w:type="dxa" w:w="120"/>
              <w:bottom w:type="dxa" w:w="100"/>
              <w:right w:type="dxa" w:w="120"/>
            </w:tcMar>
          </w:tcPr>
          <w:p>
            <w:r>
              <w:rPr>
                <w:sz w:val="18"/>
                <w:szCs w:val="18"/>
              </w:rPr>
              <w:t xml:space="preserve">Directed</w:t>
            </w:r>
          </w:p>
        </w:tc>
        <w:tc>
          <w:tcPr>
            <w:tcW w:type="dxa" w:w="6600"/>
            <w:tcMar>
              <w:top w:type="dxa" w:w="100"/>
              <w:left w:type="dxa" w:w="120"/>
              <w:bottom w:type="dxa" w:w="100"/>
              <w:right w:type="dxa" w:w="120"/>
            </w:tcMar>
          </w:tcPr>
          <w:p>
            <w:r>
              <w:rPr>
                <w:sz w:val="18"/>
                <w:szCs w:val="18"/>
              </w:rPr>
              <w:t xml:space="preserve">Work is assigned and specified top-down. Most decisions need sign-off. Postings stress “follow established processes,” reviews cite micromanagement or rigid procedure.</w:t>
            </w:r>
          </w:p>
        </w:tc>
      </w:tr>
      <w:tr>
        <w:tc>
          <w:tcPr>
            <w:tcW w:type="dxa" w:w="900"/>
            <w:tcMar>
              <w:top w:type="dxa" w:w="100"/>
              <w:left w:type="dxa" w:w="120"/>
              <w:bottom w:type="dxa" w:w="100"/>
              <w:right w:type="dxa" w:w="120"/>
            </w:tcMar>
          </w:tcPr>
          <w:p>
            <w:r>
              <w:rPr>
                <w:b/>
                <w:bCs/>
                <w:sz w:val="18"/>
                <w:szCs w:val="18"/>
              </w:rPr>
              <w:t xml:space="preserve">0.3</w:t>
            </w:r>
          </w:p>
        </w:tc>
        <w:tc>
          <w:tcPr>
            <w:tcW w:type="dxa" w:w="1500"/>
            <w:tcMar>
              <w:top w:type="dxa" w:w="100"/>
              <w:left w:type="dxa" w:w="120"/>
              <w:bottom w:type="dxa" w:w="100"/>
              <w:right w:type="dxa" w:w="120"/>
            </w:tcMar>
          </w:tcPr>
          <w:p>
            <w:r>
              <w:rPr>
                <w:sz w:val="18"/>
                <w:szCs w:val="18"/>
              </w:rPr>
              <w:t xml:space="preserve">Leaning directed</w:t>
            </w:r>
          </w:p>
        </w:tc>
        <w:tc>
          <w:tcPr>
            <w:tcW w:type="dxa" w:w="6600"/>
            <w:tcMar>
              <w:top w:type="dxa" w:w="100"/>
              <w:left w:type="dxa" w:w="120"/>
              <w:bottom w:type="dxa" w:w="100"/>
              <w:right w:type="dxa" w:w="120"/>
            </w:tcMar>
          </w:tcPr>
          <w:p>
            <w:r>
              <w:rPr>
                <w:sz w:val="18"/>
                <w:szCs w:val="18"/>
              </w:rPr>
              <w:t xml:space="preserve">Manager sets direction and priorities; individual chooses tactics inside clear guardrails. Some latitude, but the frame is given.</w:t>
            </w:r>
          </w:p>
        </w:tc>
      </w:tr>
      <w:tr>
        <w:tc>
          <w:tcPr>
            <w:tcW w:type="dxa" w:w="900"/>
            <w:tcMar>
              <w:top w:type="dxa" w:w="100"/>
              <w:left w:type="dxa" w:w="120"/>
              <w:bottom w:type="dxa" w:w="100"/>
              <w:right w:type="dxa" w:w="120"/>
            </w:tcMar>
          </w:tcPr>
          <w:p>
            <w:r>
              <w:rPr>
                <w:b/>
                <w:bCs/>
                <w:sz w:val="18"/>
                <w:szCs w:val="18"/>
              </w:rPr>
              <w:t xml:space="preserve">0.5</w:t>
            </w:r>
          </w:p>
        </w:tc>
        <w:tc>
          <w:tcPr>
            <w:tcW w:type="dxa" w:w="1500"/>
            <w:tcMar>
              <w:top w:type="dxa" w:w="100"/>
              <w:left w:type="dxa" w:w="120"/>
              <w:bottom w:type="dxa" w:w="100"/>
              <w:right w:type="dxa" w:w="120"/>
            </w:tcMar>
          </w:tcPr>
          <w:p>
            <w:r>
              <w:rPr>
                <w:sz w:val="18"/>
                <w:szCs w:val="18"/>
              </w:rPr>
              <w:t xml:space="preserve">Mixed</w:t>
            </w:r>
          </w:p>
        </w:tc>
        <w:tc>
          <w:tcPr>
            <w:tcW w:type="dxa" w:w="6600"/>
            <w:tcMar>
              <w:top w:type="dxa" w:w="100"/>
              <w:left w:type="dxa" w:w="120"/>
              <w:bottom w:type="dxa" w:w="100"/>
              <w:right w:type="dxa" w:w="120"/>
            </w:tcMar>
          </w:tcPr>
          <w:p>
            <w:r>
              <w:rPr>
                <w:sz w:val="18"/>
                <w:szCs w:val="18"/>
              </w:rPr>
              <w:t xml:space="preserve">Direction set at team level, individuals pick the how within it. No strong signal either way, or genuinely balanced.</w:t>
            </w:r>
          </w:p>
        </w:tc>
      </w:tr>
      <w:tr>
        <w:tc>
          <w:tcPr>
            <w:tcW w:type="dxa" w:w="900"/>
            <w:tcMar>
              <w:top w:type="dxa" w:w="100"/>
              <w:left w:type="dxa" w:w="120"/>
              <w:bottom w:type="dxa" w:w="100"/>
              <w:right w:type="dxa" w:w="120"/>
            </w:tcMar>
          </w:tcPr>
          <w:p>
            <w:r>
              <w:rPr>
                <w:b/>
                <w:bCs/>
                <w:sz w:val="18"/>
                <w:szCs w:val="18"/>
              </w:rPr>
              <w:t xml:space="preserve">0.7</w:t>
            </w:r>
          </w:p>
        </w:tc>
        <w:tc>
          <w:tcPr>
            <w:tcW w:type="dxa" w:w="1500"/>
            <w:tcMar>
              <w:top w:type="dxa" w:w="100"/>
              <w:left w:type="dxa" w:w="120"/>
              <w:bottom w:type="dxa" w:w="100"/>
              <w:right w:type="dxa" w:w="120"/>
            </w:tcMar>
          </w:tcPr>
          <w:p>
            <w:r>
              <w:rPr>
                <w:sz w:val="18"/>
                <w:szCs w:val="18"/>
              </w:rPr>
              <w:t xml:space="preserve">Leaning self-directed</w:t>
            </w:r>
          </w:p>
        </w:tc>
        <w:tc>
          <w:tcPr>
            <w:tcW w:type="dxa" w:w="6600"/>
            <w:tcMar>
              <w:top w:type="dxa" w:w="100"/>
              <w:left w:type="dxa" w:w="120"/>
              <w:bottom w:type="dxa" w:w="100"/>
              <w:right w:type="dxa" w:w="120"/>
            </w:tcMar>
          </w:tcPr>
          <w:p>
            <w:r>
              <w:rPr>
                <w:sz w:val="18"/>
                <w:szCs w:val="18"/>
              </w:rPr>
              <w:t xml:space="preserve">ICs own outcomes and choose their approach with light approval. “Ownership,” results-over-process language present.</w:t>
            </w:r>
          </w:p>
        </w:tc>
      </w:tr>
      <w:tr>
        <w:tc>
          <w:tcPr>
            <w:tcW w:type="dxa" w:w="900"/>
            <w:tcMar>
              <w:top w:type="dxa" w:w="100"/>
              <w:left w:type="dxa" w:w="120"/>
              <w:bottom w:type="dxa" w:w="100"/>
              <w:right w:type="dxa" w:w="120"/>
            </w:tcMar>
          </w:tcPr>
          <w:p>
            <w:r>
              <w:rPr>
                <w:b/>
                <w:bCs/>
                <w:sz w:val="18"/>
                <w:szCs w:val="18"/>
              </w:rPr>
              <w:t xml:space="preserve">0.9</w:t>
            </w:r>
          </w:p>
        </w:tc>
        <w:tc>
          <w:tcPr>
            <w:tcW w:type="dxa" w:w="1500"/>
            <w:tcMar>
              <w:top w:type="dxa" w:w="100"/>
              <w:left w:type="dxa" w:w="120"/>
              <w:bottom w:type="dxa" w:w="100"/>
              <w:right w:type="dxa" w:w="120"/>
            </w:tcMar>
          </w:tcPr>
          <w:p>
            <w:r>
              <w:rPr>
                <w:sz w:val="18"/>
                <w:szCs w:val="18"/>
              </w:rPr>
              <w:t xml:space="preserve">Self-directed</w:t>
            </w:r>
          </w:p>
        </w:tc>
        <w:tc>
          <w:tcPr>
            <w:tcW w:type="dxa" w:w="6600"/>
            <w:tcMar>
              <w:top w:type="dxa" w:w="100"/>
              <w:left w:type="dxa" w:w="120"/>
              <w:bottom w:type="dxa" w:w="100"/>
              <w:right w:type="dxa" w:w="120"/>
            </w:tcMar>
          </w:tcPr>
          <w:p>
            <w:r>
              <w:rPr>
                <w:sz w:val="18"/>
                <w:szCs w:val="18"/>
              </w:rPr>
              <w:t xml:space="preserve">Individuals set their own priorities and methods with minimal approval. High-trust, flat decision rights pervade the evidence.</w:t>
            </w:r>
          </w:p>
        </w:tc>
      </w:tr>
    </w:tbl>
    <w:p>
      <w:pPr>
        <w:pBdr>
          <w:bottom w:val="single" w:color="C8C8C8" w:sz="6" w:space="1"/>
        </w:pBdr>
        <w:spacing w:after="180" w:before="180"/>
      </w:pPr>
      <w:r>
        <w:t xml:space="preserve"/>
      </w:r>
    </w:p>
    <w:p>
      <w:pPr>
        <w:pStyle w:val="Heading1"/>
        <w:spacing w:after="60" w:before="340"/>
      </w:pPr>
      <w:r>
        <w:rPr>
          <w:b/>
          <w:bCs/>
          <w:color w:val="2F4F4A"/>
          <w:sz w:val="30"/>
          <w:szCs w:val="30"/>
        </w:rPr>
        <w:t xml:space="preserve">Pace</w:t>
      </w:r>
      <w:r>
        <w:rPr>
          <w:color w:val="595959"/>
          <w:sz w:val="17"/>
          <w:szCs w:val="17"/>
        </w:rPr>
        <w:t xml:space="preserve">    unchanged</w:t>
      </w:r>
    </w:p>
    <w:p>
      <w:pPr>
        <w:spacing w:after="150"/>
      </w:pPr>
      <w:r>
        <w:rPr>
          <w:b/>
          <w:bCs/>
          <w:sz w:val="21"/>
          <w:szCs w:val="21"/>
        </w:rPr>
        <w:t xml:space="preserve">Steady</w:t>
      </w:r>
      <w:r>
        <w:rPr>
          <w:color w:val="595959"/>
          <w:sz w:val="19"/>
          <w:szCs w:val="19"/>
        </w:rPr>
        <w:t xml:space="preserve">  (0.1)</w:t>
      </w:r>
      <w:r>
        <w:rPr>
          <w:b/>
          <w:bCs/>
          <w:color w:val="2F4F4A"/>
          <w:sz w:val="21"/>
          <w:szCs w:val="21"/>
        </w:rPr>
        <w:t xml:space="preserve">   →   </w:t>
      </w:r>
      <w:r>
        <w:rPr>
          <w:b/>
          <w:bCs/>
          <w:sz w:val="21"/>
          <w:szCs w:val="21"/>
        </w:rPr>
        <w:t xml:space="preserve">Fast</w:t>
      </w:r>
      <w:r>
        <w:rPr>
          <w:color w:val="595959"/>
          <w:sz w:val="19"/>
          <w:szCs w:val="19"/>
        </w:rPr>
        <w:t xml:space="preserve">  (0.9)</w:t>
      </w:r>
    </w:p>
    <w:p>
      <w:pPr>
        <w:spacing w:after="40" w:before="170"/>
      </w:pPr>
      <w:r>
        <w:rPr>
          <w:b/>
          <w:bCs/>
          <w:caps/>
          <w:color w:val="595959"/>
          <w:sz w:val="19"/>
          <w:szCs w:val="19"/>
        </w:rPr>
        <w:t xml:space="preserve">Measures</w:t>
      </w:r>
    </w:p>
    <w:p>
      <w:pPr>
        <w:spacing w:after="120" w:line="290"/>
      </w:pPr>
      <w:r>
        <w:rPr>
          <w:i w:val="false"/>
          <w:iCs w:val="false"/>
          <w:color w:val="1A1A1A"/>
          <w:sz w:val="20"/>
          <w:szCs w:val="20"/>
        </w:rPr>
        <w:t xml:space="preserve">The tempo and intensity of work — deliberate, sustainable cadence vs. rapid, high-urgency, quick-turnaround.</w:t>
      </w:r>
    </w:p>
    <w:p>
      <w:pPr>
        <w:spacing w:after="40" w:before="170"/>
      </w:pPr>
      <w:r>
        <w:rPr>
          <w:b/>
          <w:bCs/>
          <w:caps/>
          <w:color w:val="595959"/>
          <w:sz w:val="19"/>
          <w:szCs w:val="19"/>
        </w:rPr>
        <w:t xml:space="preserve">Where to look</w:t>
      </w:r>
    </w:p>
    <w:p>
      <w:pPr>
        <w:spacing w:after="120" w:line="290"/>
      </w:pPr>
      <w:r>
        <w:rPr>
          <w:i w:val="false"/>
          <w:iCs w:val="false"/>
          <w:color w:val="1A1A1A"/>
          <w:sz w:val="20"/>
          <w:szCs w:val="20"/>
        </w:rPr>
        <w:t xml:space="preserve">“Fast-paced” in postings, release/ship frequency, deadline and crunch culture, review mentions of hours/intensity/burnout vs. calm, on-call expectations.</w:t>
      </w:r>
    </w:p>
    <w:p>
      <w:pPr>
        <w:spacing w:after="40" w:before="170"/>
      </w:pPr>
      <w:r>
        <w:rPr>
          <w:b/>
          <w:bCs/>
          <w:caps/>
          <w:color w:val="595959"/>
          <w:sz w:val="19"/>
          <w:szCs w:val="19"/>
        </w:rPr>
        <w:t xml:space="preserve">Keep distinct</w:t>
      </w:r>
    </w:p>
    <w:p>
      <w:pPr>
        <w:spacing w:after="120" w:line="290"/>
      </w:pPr>
      <w:r>
        <w:rPr>
          <w:i w:val="false"/>
          <w:iCs w:val="false"/>
          <w:color w:val="1A1A1A"/>
          <w:sz w:val="20"/>
          <w:szCs w:val="20"/>
        </w:rPr>
        <w:t xml:space="preserve">Not the same as Innovation. A company can move fast while only optimizing, or invent slowly. Pace is tempo; Innovation is novelty.</w:t>
      </w:r>
    </w:p>
    <w:p>
      <w:pPr>
        <w:spacing w:after="40" w:before="150"/>
      </w:pPr>
      <w:r>
        <w:rPr>
          <w:b/>
          <w:bCs/>
          <w:caps/>
          <w:color w:val="595959"/>
          <w:sz w:val="19"/>
          <w:szCs w:val="19"/>
        </w:rPr>
        <w:t xml:space="preserve">Score bands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600"/>
      </w:tblGrid>
      <w:tr>
        <w:trPr>
          <w:tblHeader/>
        </w:trPr>
        <w:tc>
          <w:tcPr>
            <w:tcW w:type="dxa" w:w="900"/>
            <w:shd w:fill="EEF2F1" w:color="auto" w:val="clear"/>
            <w:tcMar>
              <w:top w:type="dxa" w:w="100"/>
              <w:left w:type="dxa" w:w="120"/>
              <w:bottom w:type="dxa" w:w="100"/>
              <w:right w:type="dxa" w:w="120"/>
            </w:tcMar>
          </w:tcPr>
          <w:p>
            <w:r>
              <w:rPr>
                <w:b/>
                <w:bCs/>
                <w:sz w:val="18"/>
                <w:szCs w:val="18"/>
              </w:rPr>
              <w:t xml:space="preserve">Band</w:t>
            </w:r>
          </w:p>
        </w:tc>
        <w:tc>
          <w:tcPr>
            <w:tcW w:type="dxa" w:w="1500"/>
            <w:shd w:fill="EEF2F1" w:color="auto" w:val="clear"/>
            <w:tcMar>
              <w:top w:type="dxa" w:w="100"/>
              <w:left w:type="dxa" w:w="120"/>
              <w:bottom w:type="dxa" w:w="100"/>
              <w:right w:type="dxa" w:w="120"/>
            </w:tcMar>
          </w:tcPr>
          <w:p>
            <w:r>
              <w:rPr>
                <w:b/>
                <w:bCs/>
                <w:sz w:val="18"/>
                <w:szCs w:val="18"/>
              </w:rPr>
              <w:t xml:space="preserve">Reads as</w:t>
            </w:r>
          </w:p>
        </w:tc>
        <w:tc>
          <w:tcPr>
            <w:tcW w:type="dxa" w:w="6600"/>
            <w:shd w:fill="EEF2F1" w:color="auto" w:val="clear"/>
            <w:tcMar>
              <w:top w:type="dxa" w:w="100"/>
              <w:left w:type="dxa" w:w="120"/>
              <w:bottom w:type="dxa" w:w="100"/>
              <w:right w:type="dxa" w:w="120"/>
            </w:tcMar>
          </w:tcPr>
          <w:p>
            <w:r>
              <w:rPr>
                <w:b/>
                <w:bCs/>
                <w:sz w:val="18"/>
                <w:szCs w:val="18"/>
              </w:rPr>
              <w:t xml:space="preserve">Description</w:t>
            </w:r>
          </w:p>
        </w:tc>
      </w:tr>
      <w:tr>
        <w:tc>
          <w:tcPr>
            <w:tcW w:type="dxa" w:w="900"/>
            <w:tcMar>
              <w:top w:type="dxa" w:w="100"/>
              <w:left w:type="dxa" w:w="120"/>
              <w:bottom w:type="dxa" w:w="100"/>
              <w:right w:type="dxa" w:w="120"/>
            </w:tcMar>
          </w:tcPr>
          <w:p>
            <w:r>
              <w:rPr>
                <w:b/>
                <w:bCs/>
                <w:sz w:val="18"/>
                <w:szCs w:val="18"/>
              </w:rPr>
              <w:t xml:space="preserve">0.1</w:t>
            </w:r>
          </w:p>
        </w:tc>
        <w:tc>
          <w:tcPr>
            <w:tcW w:type="dxa" w:w="1500"/>
            <w:tcMar>
              <w:top w:type="dxa" w:w="100"/>
              <w:left w:type="dxa" w:w="120"/>
              <w:bottom w:type="dxa" w:w="100"/>
              <w:right w:type="dxa" w:w="120"/>
            </w:tcMar>
          </w:tcPr>
          <w:p>
            <w:r>
              <w:rPr>
                <w:sz w:val="18"/>
                <w:szCs w:val="18"/>
              </w:rPr>
              <w:t xml:space="preserve">Steady</w:t>
            </w:r>
          </w:p>
        </w:tc>
        <w:tc>
          <w:tcPr>
            <w:tcW w:type="dxa" w:w="6600"/>
            <w:tcMar>
              <w:top w:type="dxa" w:w="100"/>
              <w:left w:type="dxa" w:w="120"/>
              <w:bottom w:type="dxa" w:w="100"/>
              <w:right w:type="dxa" w:w="120"/>
            </w:tcMar>
          </w:tcPr>
          <w:p>
            <w:r>
              <w:rPr>
                <w:sz w:val="18"/>
                <w:szCs w:val="18"/>
              </w:rPr>
              <w:t xml:space="preserve">Deliberate cadence, long planning horizons, stability and quality emphasis. Reviews describe a calm, sustainable pace.</w:t>
            </w:r>
          </w:p>
        </w:tc>
      </w:tr>
      <w:tr>
        <w:tc>
          <w:tcPr>
            <w:tcW w:type="dxa" w:w="900"/>
            <w:tcMar>
              <w:top w:type="dxa" w:w="100"/>
              <w:left w:type="dxa" w:w="120"/>
              <w:bottom w:type="dxa" w:w="100"/>
              <w:right w:type="dxa" w:w="120"/>
            </w:tcMar>
          </w:tcPr>
          <w:p>
            <w:r>
              <w:rPr>
                <w:b/>
                <w:bCs/>
                <w:sz w:val="18"/>
                <w:szCs w:val="18"/>
              </w:rPr>
              <w:t xml:space="preserve">0.3</w:t>
            </w:r>
          </w:p>
        </w:tc>
        <w:tc>
          <w:tcPr>
            <w:tcW w:type="dxa" w:w="1500"/>
            <w:tcMar>
              <w:top w:type="dxa" w:w="100"/>
              <w:left w:type="dxa" w:w="120"/>
              <w:bottom w:type="dxa" w:w="100"/>
              <w:right w:type="dxa" w:w="120"/>
            </w:tcMar>
          </w:tcPr>
          <w:p>
            <w:r>
              <w:rPr>
                <w:sz w:val="18"/>
                <w:szCs w:val="18"/>
              </w:rPr>
              <w:t xml:space="preserve">Leaning steady</w:t>
            </w:r>
          </w:p>
        </w:tc>
        <w:tc>
          <w:tcPr>
            <w:tcW w:type="dxa" w:w="6600"/>
            <w:tcMar>
              <w:top w:type="dxa" w:w="100"/>
              <w:left w:type="dxa" w:w="120"/>
              <w:bottom w:type="dxa" w:w="100"/>
              <w:right w:type="dxa" w:w="120"/>
            </w:tcMar>
          </w:tcPr>
          <w:p>
            <w:r>
              <w:rPr>
                <w:sz w:val="18"/>
                <w:szCs w:val="18"/>
              </w:rPr>
              <w:t xml:space="preserve">Generally measured tempo with occasional pushes. Deadlines exist but rarely dominate.</w:t>
            </w:r>
          </w:p>
        </w:tc>
      </w:tr>
      <w:tr>
        <w:tc>
          <w:tcPr>
            <w:tcW w:type="dxa" w:w="900"/>
            <w:tcMar>
              <w:top w:type="dxa" w:w="100"/>
              <w:left w:type="dxa" w:w="120"/>
              <w:bottom w:type="dxa" w:w="100"/>
              <w:right w:type="dxa" w:w="120"/>
            </w:tcMar>
          </w:tcPr>
          <w:p>
            <w:r>
              <w:rPr>
                <w:b/>
                <w:bCs/>
                <w:sz w:val="18"/>
                <w:szCs w:val="18"/>
              </w:rPr>
              <w:t xml:space="preserve">0.5</w:t>
            </w:r>
          </w:p>
        </w:tc>
        <w:tc>
          <w:tcPr>
            <w:tcW w:type="dxa" w:w="1500"/>
            <w:tcMar>
              <w:top w:type="dxa" w:w="100"/>
              <w:left w:type="dxa" w:w="120"/>
              <w:bottom w:type="dxa" w:w="100"/>
              <w:right w:type="dxa" w:w="120"/>
            </w:tcMar>
          </w:tcPr>
          <w:p>
            <w:r>
              <w:rPr>
                <w:sz w:val="18"/>
                <w:szCs w:val="18"/>
              </w:rPr>
              <w:t xml:space="preserve">Mixed</w:t>
            </w:r>
          </w:p>
        </w:tc>
        <w:tc>
          <w:tcPr>
            <w:tcW w:type="dxa" w:w="6600"/>
            <w:tcMar>
              <w:top w:type="dxa" w:w="100"/>
              <w:left w:type="dxa" w:w="120"/>
              <w:bottom w:type="dxa" w:w="100"/>
              <w:right w:type="dxa" w:w="120"/>
            </w:tcMar>
          </w:tcPr>
          <w:p>
            <w:r>
              <w:rPr>
                <w:sz w:val="18"/>
                <w:szCs w:val="18"/>
              </w:rPr>
              <w:t xml:space="preserve">Ordinary business tempo — some crunch, some calm. No dominant signal.</w:t>
            </w:r>
          </w:p>
        </w:tc>
      </w:tr>
      <w:tr>
        <w:tc>
          <w:tcPr>
            <w:tcW w:type="dxa" w:w="900"/>
            <w:tcMar>
              <w:top w:type="dxa" w:w="100"/>
              <w:left w:type="dxa" w:w="120"/>
              <w:bottom w:type="dxa" w:w="100"/>
              <w:right w:type="dxa" w:w="120"/>
            </w:tcMar>
          </w:tcPr>
          <w:p>
            <w:r>
              <w:rPr>
                <w:b/>
                <w:bCs/>
                <w:sz w:val="18"/>
                <w:szCs w:val="18"/>
              </w:rPr>
              <w:t xml:space="preserve">0.7</w:t>
            </w:r>
          </w:p>
        </w:tc>
        <w:tc>
          <w:tcPr>
            <w:tcW w:type="dxa" w:w="1500"/>
            <w:tcMar>
              <w:top w:type="dxa" w:w="100"/>
              <w:left w:type="dxa" w:w="120"/>
              <w:bottom w:type="dxa" w:w="100"/>
              <w:right w:type="dxa" w:w="120"/>
            </w:tcMar>
          </w:tcPr>
          <w:p>
            <w:r>
              <w:rPr>
                <w:sz w:val="18"/>
                <w:szCs w:val="18"/>
              </w:rPr>
              <w:t xml:space="preserve">Leaning fast</w:t>
            </w:r>
          </w:p>
        </w:tc>
        <w:tc>
          <w:tcPr>
            <w:tcW w:type="dxa" w:w="6600"/>
            <w:tcMar>
              <w:top w:type="dxa" w:w="100"/>
              <w:left w:type="dxa" w:w="120"/>
              <w:bottom w:type="dxa" w:w="100"/>
              <w:right w:type="dxa" w:w="120"/>
            </w:tcMar>
          </w:tcPr>
          <w:p>
            <w:r>
              <w:rPr>
                <w:sz w:val="18"/>
                <w:szCs w:val="18"/>
              </w:rPr>
              <w:t xml:space="preserve">Regular urgency, frequent releases, tight-ish timelines. Energy is up but not relentless.</w:t>
            </w:r>
          </w:p>
        </w:tc>
      </w:tr>
      <w:tr>
        <w:tc>
          <w:tcPr>
            <w:tcW w:type="dxa" w:w="900"/>
            <w:tcMar>
              <w:top w:type="dxa" w:w="100"/>
              <w:left w:type="dxa" w:w="120"/>
              <w:bottom w:type="dxa" w:w="100"/>
              <w:right w:type="dxa" w:w="120"/>
            </w:tcMar>
          </w:tcPr>
          <w:p>
            <w:r>
              <w:rPr>
                <w:b/>
                <w:bCs/>
                <w:sz w:val="18"/>
                <w:szCs w:val="18"/>
              </w:rPr>
              <w:t xml:space="preserve">0.9</w:t>
            </w:r>
          </w:p>
        </w:tc>
        <w:tc>
          <w:tcPr>
            <w:tcW w:type="dxa" w:w="1500"/>
            <w:tcMar>
              <w:top w:type="dxa" w:w="100"/>
              <w:left w:type="dxa" w:w="120"/>
              <w:bottom w:type="dxa" w:w="100"/>
              <w:right w:type="dxa" w:w="120"/>
            </w:tcMar>
          </w:tcPr>
          <w:p>
            <w:r>
              <w:rPr>
                <w:sz w:val="18"/>
                <w:szCs w:val="18"/>
              </w:rPr>
              <w:t xml:space="preserve">Fast</w:t>
            </w:r>
          </w:p>
        </w:tc>
        <w:tc>
          <w:tcPr>
            <w:tcW w:type="dxa" w:w="6600"/>
            <w:tcMar>
              <w:top w:type="dxa" w:w="100"/>
              <w:left w:type="dxa" w:w="120"/>
              <w:bottom w:type="dxa" w:w="100"/>
              <w:right w:type="dxa" w:w="120"/>
            </w:tcMar>
          </w:tcPr>
          <w:p>
            <w:r>
              <w:rPr>
                <w:sz w:val="18"/>
                <w:szCs w:val="18"/>
              </w:rPr>
              <w:t xml:space="preserve">“Move fast,” rapid iteration, aggressive deadlines. Reviews cite long hours, intensity or hypergrowth.</w:t>
            </w:r>
          </w:p>
        </w:tc>
      </w:tr>
    </w:tbl>
    <w:p>
      <w:pPr>
        <w:pBdr>
          <w:bottom w:val="single" w:color="C8C8C8" w:sz="6" w:space="1"/>
        </w:pBdr>
        <w:spacing w:after="180" w:before="180"/>
      </w:pPr>
      <w:r>
        <w:t xml:space="preserve"/>
      </w:r>
    </w:p>
    <w:p>
      <w:pPr>
        <w:pStyle w:val="Heading1"/>
        <w:spacing w:after="60" w:before="340"/>
      </w:pPr>
      <w:r>
        <w:rPr>
          <w:b/>
          <w:bCs/>
          <w:color w:val="2F4F4A"/>
          <w:sz w:val="30"/>
          <w:szCs w:val="30"/>
        </w:rPr>
        <w:t xml:space="preserve">Collaboration</w:t>
      </w:r>
      <w:r>
        <w:rPr>
          <w:b/>
          <w:bCs/>
          <w:color w:val="A0522D"/>
          <w:sz w:val="17"/>
          <w:szCs w:val="17"/>
        </w:rPr>
        <w:t xml:space="preserve">    changed</w:t>
      </w:r>
    </w:p>
    <w:p>
      <w:pPr>
        <w:spacing w:after="150"/>
      </w:pPr>
      <w:r>
        <w:rPr>
          <w:b/>
          <w:bCs/>
          <w:sz w:val="21"/>
          <w:szCs w:val="21"/>
        </w:rPr>
        <w:t xml:space="preserve">Solo</w:t>
      </w:r>
      <w:r>
        <w:rPr>
          <w:color w:val="595959"/>
          <w:sz w:val="19"/>
          <w:szCs w:val="19"/>
        </w:rPr>
        <w:t xml:space="preserve">  (0.1)</w:t>
      </w:r>
      <w:r>
        <w:rPr>
          <w:b/>
          <w:bCs/>
          <w:color w:val="2F4F4A"/>
          <w:sz w:val="21"/>
          <w:szCs w:val="21"/>
        </w:rPr>
        <w:t xml:space="preserve">   →   </w:t>
      </w:r>
      <w:r>
        <w:rPr>
          <w:b/>
          <w:bCs/>
          <w:sz w:val="21"/>
          <w:szCs w:val="21"/>
        </w:rPr>
        <w:t xml:space="preserve">Collective</w:t>
      </w:r>
      <w:r>
        <w:rPr>
          <w:color w:val="595959"/>
          <w:sz w:val="19"/>
          <w:szCs w:val="19"/>
        </w:rPr>
        <w:t xml:space="preserve">  (0.9)</w:t>
      </w:r>
    </w:p>
    <w:p>
      <w:pPr>
        <w:spacing w:after="40" w:before="170"/>
      </w:pPr>
      <w:r>
        <w:rPr>
          <w:b/>
          <w:bCs/>
          <w:caps/>
          <w:color w:val="595959"/>
          <w:sz w:val="19"/>
          <w:szCs w:val="19"/>
        </w:rPr>
        <w:t xml:space="preserve">Measures</w:t>
      </w:r>
    </w:p>
    <w:p>
      <w:pPr>
        <w:spacing w:after="120" w:line="290"/>
      </w:pPr>
      <w:r>
        <w:rPr>
          <w:i w:val="false"/>
          <w:iCs w:val="false"/>
          <w:color w:val="1A1A1A"/>
          <w:sz w:val="20"/>
          <w:szCs w:val="20"/>
        </w:rPr>
        <w:t xml:space="preserve">How work actually gets produced — individual, heads-down ownership vs. group, cross-functional, in-the-room problem-solving.</w:t>
      </w:r>
    </w:p>
    <w:p>
      <w:pPr>
        <w:spacing w:after="40" w:before="170"/>
      </w:pPr>
      <w:r>
        <w:rPr>
          <w:b/>
          <w:bCs/>
          <w:caps/>
          <w:color w:val="595959"/>
          <w:sz w:val="19"/>
          <w:szCs w:val="19"/>
        </w:rPr>
        <w:t xml:space="preserve">Where to look</w:t>
      </w:r>
      <w:r>
        <w:rPr>
          <w:b/>
          <w:bCs/>
          <w:color w:val="A0522D"/>
          <w:sz w:val="16"/>
          <w:szCs w:val="16"/>
        </w:rPr>
        <w:t xml:space="preserve">   ·  changed</w:t>
      </w:r>
    </w:p>
    <w:p>
      <w:pPr>
        <w:spacing w:after="120" w:line="290"/>
      </w:pPr>
      <w:r>
        <w:rPr>
          <w:i w:val="false"/>
          <w:iCs w:val="false"/>
          <w:color w:val="1A1A1A"/>
          <w:sz w:val="20"/>
          <w:szCs w:val="20"/>
        </w:rPr>
        <w:t xml:space="preserve">Team structure (pods/squads vs. single-threaded owners), meeting and pairing culture, open-plan vs. deep-work norms, “we win together” vs. “heads-down, protect your focus time” language, async-written vs. sync-group.</w:t>
      </w:r>
    </w:p>
    <w:p>
      <w:pPr>
        <w:pBdr>
          <w:left w:val="single" w:color="C8C8C8" w:sz="8" w:space="10"/>
        </w:pBdr>
        <w:spacing w:after="100" w:line="280"/>
        <w:ind w:left="431"/>
      </w:pPr>
      <w:r>
        <w:rPr>
          <w:i/>
          <w:iCs/>
          <w:color w:val="595959"/>
          <w:sz w:val="17"/>
          <w:szCs w:val="17"/>
        </w:rPr>
        <w:t xml:space="preserve">Team structure (pods/squads vs. individual owners), meeting and pairing culture, open-plan vs. deep-work norms, “we win together” vs. “own your area” language, async-individual vs. sync-group.</w:t>
      </w:r>
    </w:p>
    <w:p>
      <w:pPr>
        <w:spacing w:after="40" w:before="170"/>
      </w:pPr>
      <w:r>
        <w:rPr>
          <w:b/>
          <w:bCs/>
          <w:caps/>
          <w:color w:val="595959"/>
          <w:sz w:val="19"/>
          <w:szCs w:val="19"/>
        </w:rPr>
        <w:t xml:space="preserve">Keep distinct</w:t>
      </w:r>
      <w:r>
        <w:rPr>
          <w:b/>
          <w:bCs/>
          <w:color w:val="A0522D"/>
          <w:sz w:val="16"/>
          <w:szCs w:val="16"/>
        </w:rPr>
        <w:t xml:space="preserve">   ·  changed</w:t>
      </w:r>
    </w:p>
    <w:p>
      <w:pPr>
        <w:spacing w:after="120" w:line="290"/>
      </w:pPr>
      <w:r>
        <w:rPr>
          <w:i w:val="false"/>
          <w:iCs w:val="false"/>
          <w:color w:val="1A1A1A"/>
          <w:sz w:val="20"/>
          <w:szCs w:val="20"/>
        </w:rPr>
        <w:t xml:space="preserve">Not the same as Autonomy. Collective teams can still hand individuals full ownership of the how. Score meeting and team density here, decision rights under Autonomy.</w:t>
      </w:r>
    </w:p>
    <w:p>
      <w:pPr>
        <w:spacing w:after="120" w:line="290"/>
      </w:pPr>
      <w:r>
        <w:rPr>
          <w:i w:val="false"/>
          <w:iCs w:val="false"/>
          <w:color w:val="1A1A1A"/>
          <w:sz w:val="20"/>
          <w:szCs w:val="20"/>
        </w:rPr>
        <w:t xml:space="preserve">Not the same as Feedback. This was the single most-confused pair in round 1 (9 shared passages, more than any other, and unguarded until now). Warmth and quality of working relationships — "good team," "supportive coworkers," "people feel comfortable raising concerns" — are weak Collaboration signals about how much people work together, and are NOT Feedback signals at all. Score HOW MUCH joint work happens here. Score how critique is delivered under Feedback, and only when the evidence actually describes critique.</w:t>
      </w:r>
    </w:p>
    <w:p>
      <w:pPr>
        <w:pBdr>
          <w:left w:val="single" w:color="C8C8C8" w:sz="8" w:space="10"/>
        </w:pBdr>
        <w:spacing w:after="100" w:line="280"/>
        <w:ind w:left="431"/>
      </w:pPr>
      <w:r>
        <w:rPr>
          <w:i/>
          <w:iCs/>
          <w:color w:val="595959"/>
          <w:sz w:val="17"/>
          <w:szCs w:val="17"/>
        </w:rPr>
        <w:t xml:space="preserve">Not the same as Autonomy. Collective teams can still hand individuals full ownership of the how. Score meeting and team density here, decision rights under Autonomy.</w:t>
      </w:r>
    </w:p>
    <w:p>
      <w:pPr>
        <w:spacing w:after="40" w:before="150"/>
      </w:pPr>
      <w:r>
        <w:rPr>
          <w:b/>
          <w:bCs/>
          <w:caps/>
          <w:color w:val="595959"/>
          <w:sz w:val="19"/>
          <w:szCs w:val="19"/>
        </w:rPr>
        <w:t xml:space="preserve">Score bands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600"/>
      </w:tblGrid>
      <w:tr>
        <w:trPr>
          <w:tblHeader/>
        </w:trPr>
        <w:tc>
          <w:tcPr>
            <w:tcW w:type="dxa" w:w="900"/>
            <w:shd w:fill="EEF2F1" w:color="auto" w:val="clear"/>
            <w:tcMar>
              <w:top w:type="dxa" w:w="100"/>
              <w:left w:type="dxa" w:w="120"/>
              <w:bottom w:type="dxa" w:w="100"/>
              <w:right w:type="dxa" w:w="120"/>
            </w:tcMar>
          </w:tcPr>
          <w:p>
            <w:r>
              <w:rPr>
                <w:b/>
                <w:bCs/>
                <w:sz w:val="18"/>
                <w:szCs w:val="18"/>
              </w:rPr>
              <w:t xml:space="preserve">Band</w:t>
            </w:r>
          </w:p>
        </w:tc>
        <w:tc>
          <w:tcPr>
            <w:tcW w:type="dxa" w:w="1500"/>
            <w:shd w:fill="EEF2F1" w:color="auto" w:val="clear"/>
            <w:tcMar>
              <w:top w:type="dxa" w:w="100"/>
              <w:left w:type="dxa" w:w="120"/>
              <w:bottom w:type="dxa" w:w="100"/>
              <w:right w:type="dxa" w:w="120"/>
            </w:tcMar>
          </w:tcPr>
          <w:p>
            <w:r>
              <w:rPr>
                <w:b/>
                <w:bCs/>
                <w:sz w:val="18"/>
                <w:szCs w:val="18"/>
              </w:rPr>
              <w:t xml:space="preserve">Reads as</w:t>
            </w:r>
          </w:p>
        </w:tc>
        <w:tc>
          <w:tcPr>
            <w:tcW w:type="dxa" w:w="6600"/>
            <w:shd w:fill="EEF2F1" w:color="auto" w:val="clear"/>
            <w:tcMar>
              <w:top w:type="dxa" w:w="100"/>
              <w:left w:type="dxa" w:w="120"/>
              <w:bottom w:type="dxa" w:w="100"/>
              <w:right w:type="dxa" w:w="120"/>
            </w:tcMar>
          </w:tcPr>
          <w:p>
            <w:r>
              <w:rPr>
                <w:b/>
                <w:bCs/>
                <w:sz w:val="18"/>
                <w:szCs w:val="18"/>
              </w:rPr>
              <w:t xml:space="preserve">Description</w:t>
            </w:r>
          </w:p>
        </w:tc>
      </w:tr>
      <w:tr>
        <w:tc>
          <w:tcPr>
            <w:tcW w:type="dxa" w:w="900"/>
            <w:shd w:fill="EAF2EE" w:color="auto" w:val="clear"/>
            <w:tcMar>
              <w:top w:type="dxa" w:w="100"/>
              <w:left w:type="dxa" w:w="120"/>
              <w:bottom w:type="dxa" w:w="100"/>
              <w:right w:type="dxa" w:w="120"/>
            </w:tcMar>
          </w:tcPr>
          <w:p>
            <w:r>
              <w:rPr>
                <w:b/>
                <w:bCs/>
                <w:sz w:val="18"/>
                <w:szCs w:val="18"/>
              </w:rPr>
              <w:t xml:space="preserve">0.1</w:t>
            </w:r>
          </w:p>
        </w:tc>
        <w:tc>
          <w:tcPr>
            <w:tcW w:type="dxa" w:w="1500"/>
            <w:shd w:fill="EAF2EE" w:color="auto" w:val="clear"/>
            <w:tcMar>
              <w:top w:type="dxa" w:w="100"/>
              <w:left w:type="dxa" w:w="120"/>
              <w:bottom w:type="dxa" w:w="100"/>
              <w:right w:type="dxa" w:w="120"/>
            </w:tcMar>
          </w:tcPr>
          <w:p>
            <w:r>
              <w:rPr>
                <w:sz w:val="18"/>
                <w:szCs w:val="18"/>
              </w:rPr>
              <w:t xml:space="preserve">Solo</w:t>
            </w:r>
          </w:p>
        </w:tc>
        <w:tc>
          <w:tcPr>
            <w:tcW w:type="dxa" w:w="6600"/>
            <w:shd w:fill="EAF2EE" w:color="auto" w:val="clear"/>
            <w:tcMar>
              <w:top w:type="dxa" w:w="100"/>
              <w:left w:type="dxa" w:w="120"/>
              <w:bottom w:type="dxa" w:w="100"/>
              <w:right w:type="dxa" w:w="120"/>
            </w:tcMar>
          </w:tcPr>
          <w:p>
            <w:r>
              <w:rPr>
                <w:sz w:val="18"/>
                <w:szCs w:val="18"/>
              </w:rPr>
              <w:t xml:space="preserve">Heads-down solo production is the norm. Very low meeting load, little or no pairing, written async updates in place of live working sessions.</w:t>
            </w:r>
          </w:p>
          <w:p>
            <w:pPr>
              <w:spacing w:before="70"/>
            </w:pPr>
            <w:r>
              <w:rPr>
                <w:b/>
                <w:bCs/>
                <w:color w:val="595959"/>
                <w:sz w:val="16"/>
                <w:szCs w:val="16"/>
              </w:rPr>
              <w:t xml:space="preserve">was: </w:t>
            </w:r>
            <w:r>
              <w:rPr>
                <w:i/>
                <w:iCs/>
                <w:color w:val="595959"/>
                <w:sz w:val="16"/>
                <w:szCs w:val="16"/>
              </w:rPr>
              <w:t xml:space="preserve">Individual ownership, heads-down norm, low meeting load. Async and individual contribution valued.</w:t>
            </w:r>
          </w:p>
        </w:tc>
      </w:tr>
      <w:tr>
        <w:tc>
          <w:tcPr>
            <w:tcW w:type="dxa" w:w="900"/>
            <w:shd w:fill="EAF2EE" w:color="auto" w:val="clear"/>
            <w:tcMar>
              <w:top w:type="dxa" w:w="100"/>
              <w:left w:type="dxa" w:w="120"/>
              <w:bottom w:type="dxa" w:w="100"/>
              <w:right w:type="dxa" w:w="120"/>
            </w:tcMar>
          </w:tcPr>
          <w:p>
            <w:r>
              <w:rPr>
                <w:b/>
                <w:bCs/>
                <w:sz w:val="18"/>
                <w:szCs w:val="18"/>
              </w:rPr>
              <w:t xml:space="preserve">0.3</w:t>
            </w:r>
          </w:p>
        </w:tc>
        <w:tc>
          <w:tcPr>
            <w:tcW w:type="dxa" w:w="1500"/>
            <w:shd w:fill="EAF2EE" w:color="auto" w:val="clear"/>
            <w:tcMar>
              <w:top w:type="dxa" w:w="100"/>
              <w:left w:type="dxa" w:w="120"/>
              <w:bottom w:type="dxa" w:w="100"/>
              <w:right w:type="dxa" w:w="120"/>
            </w:tcMar>
          </w:tcPr>
          <w:p>
            <w:r>
              <w:rPr>
                <w:sz w:val="18"/>
                <w:szCs w:val="18"/>
              </w:rPr>
              <w:t xml:space="preserve">Leaning solo</w:t>
            </w:r>
          </w:p>
        </w:tc>
        <w:tc>
          <w:tcPr>
            <w:tcW w:type="dxa" w:w="6600"/>
            <w:shd w:fill="EAF2EE" w:color="auto" w:val="clear"/>
            <w:tcMar>
              <w:top w:type="dxa" w:w="100"/>
              <w:left w:type="dxa" w:w="120"/>
              <w:bottom w:type="dxa" w:w="100"/>
              <w:right w:type="dxa" w:w="120"/>
            </w:tcMar>
          </w:tcPr>
          <w:p>
            <w:r>
              <w:rPr>
                <w:sz w:val="18"/>
                <w:szCs w:val="18"/>
              </w:rPr>
              <w:t xml:space="preserve">Work is produced alone and brought together at periodic syncs. Meetings are status and handoff, not joint problem-solving.</w:t>
            </w:r>
          </w:p>
          <w:p>
            <w:pPr>
              <w:spacing w:before="70"/>
            </w:pPr>
            <w:r>
              <w:rPr>
                <w:b/>
                <w:bCs/>
                <w:color w:val="595959"/>
                <w:sz w:val="16"/>
                <w:szCs w:val="16"/>
              </w:rPr>
              <w:t xml:space="preserve">was: </w:t>
            </w:r>
            <w:r>
              <w:rPr>
                <w:i/>
                <w:iCs/>
                <w:color w:val="595959"/>
                <w:sz w:val="16"/>
                <w:szCs w:val="16"/>
              </w:rPr>
              <w:t xml:space="preserve">Mostly individual work with periodic syncs. Collaboration is coordination, not co-production.</w:t>
            </w:r>
          </w:p>
        </w:tc>
      </w:tr>
      <w:tr>
        <w:tc>
          <w:tcPr>
            <w:tcW w:type="dxa" w:w="900"/>
            <w:tcMar>
              <w:top w:type="dxa" w:w="100"/>
              <w:left w:type="dxa" w:w="120"/>
              <w:bottom w:type="dxa" w:w="100"/>
              <w:right w:type="dxa" w:w="120"/>
            </w:tcMar>
          </w:tcPr>
          <w:p>
            <w:r>
              <w:rPr>
                <w:b/>
                <w:bCs/>
                <w:sz w:val="18"/>
                <w:szCs w:val="18"/>
              </w:rPr>
              <w:t xml:space="preserve">0.5</w:t>
            </w:r>
          </w:p>
        </w:tc>
        <w:tc>
          <w:tcPr>
            <w:tcW w:type="dxa" w:w="1500"/>
            <w:tcMar>
              <w:top w:type="dxa" w:w="100"/>
              <w:left w:type="dxa" w:w="120"/>
              <w:bottom w:type="dxa" w:w="100"/>
              <w:right w:type="dxa" w:w="120"/>
            </w:tcMar>
          </w:tcPr>
          <w:p>
            <w:r>
              <w:rPr>
                <w:sz w:val="18"/>
                <w:szCs w:val="18"/>
              </w:rPr>
              <w:t xml:space="preserve">Mixed</w:t>
            </w:r>
          </w:p>
        </w:tc>
        <w:tc>
          <w:tcPr>
            <w:tcW w:type="dxa" w:w="6600"/>
            <w:tcMar>
              <w:top w:type="dxa" w:w="100"/>
              <w:left w:type="dxa" w:w="120"/>
              <w:bottom w:type="dxa" w:w="100"/>
              <w:right w:type="dxa" w:w="120"/>
            </w:tcMar>
          </w:tcPr>
          <w:p>
            <w:r>
              <w:rPr>
                <w:sz w:val="18"/>
                <w:szCs w:val="18"/>
              </w:rPr>
              <w:t xml:space="preserve">Balanced individual and group work; no dominant mode.</w:t>
            </w:r>
          </w:p>
        </w:tc>
      </w:tr>
      <w:tr>
        <w:tc>
          <w:tcPr>
            <w:tcW w:type="dxa" w:w="900"/>
            <w:tcMar>
              <w:top w:type="dxa" w:w="100"/>
              <w:left w:type="dxa" w:w="120"/>
              <w:bottom w:type="dxa" w:w="100"/>
              <w:right w:type="dxa" w:w="120"/>
            </w:tcMar>
          </w:tcPr>
          <w:p>
            <w:r>
              <w:rPr>
                <w:b/>
                <w:bCs/>
                <w:sz w:val="18"/>
                <w:szCs w:val="18"/>
              </w:rPr>
              <w:t xml:space="preserve">0.7</w:t>
            </w:r>
          </w:p>
        </w:tc>
        <w:tc>
          <w:tcPr>
            <w:tcW w:type="dxa" w:w="1500"/>
            <w:tcMar>
              <w:top w:type="dxa" w:w="100"/>
              <w:left w:type="dxa" w:w="120"/>
              <w:bottom w:type="dxa" w:w="100"/>
              <w:right w:type="dxa" w:w="120"/>
            </w:tcMar>
          </w:tcPr>
          <w:p>
            <w:r>
              <w:rPr>
                <w:sz w:val="18"/>
                <w:szCs w:val="18"/>
              </w:rPr>
              <w:t xml:space="preserve">Leaning collective</w:t>
            </w:r>
          </w:p>
        </w:tc>
        <w:tc>
          <w:tcPr>
            <w:tcW w:type="dxa" w:w="6600"/>
            <w:tcMar>
              <w:top w:type="dxa" w:w="100"/>
              <w:left w:type="dxa" w:w="120"/>
              <w:bottom w:type="dxa" w:w="100"/>
              <w:right w:type="dxa" w:w="120"/>
            </w:tcMar>
          </w:tcPr>
          <w:p>
            <w:r>
              <w:rPr>
                <w:sz w:val="18"/>
                <w:szCs w:val="18"/>
              </w:rPr>
              <w:t xml:space="preserve">Cross-functional teamwork common, meetings frequent, decisions shared.</w:t>
            </w:r>
          </w:p>
        </w:tc>
      </w:tr>
      <w:tr>
        <w:tc>
          <w:tcPr>
            <w:tcW w:type="dxa" w:w="900"/>
            <w:tcMar>
              <w:top w:type="dxa" w:w="100"/>
              <w:left w:type="dxa" w:w="120"/>
              <w:bottom w:type="dxa" w:w="100"/>
              <w:right w:type="dxa" w:w="120"/>
            </w:tcMar>
          </w:tcPr>
          <w:p>
            <w:r>
              <w:rPr>
                <w:b/>
                <w:bCs/>
                <w:sz w:val="18"/>
                <w:szCs w:val="18"/>
              </w:rPr>
              <w:t xml:space="preserve">0.9</w:t>
            </w:r>
          </w:p>
        </w:tc>
        <w:tc>
          <w:tcPr>
            <w:tcW w:type="dxa" w:w="1500"/>
            <w:tcMar>
              <w:top w:type="dxa" w:w="100"/>
              <w:left w:type="dxa" w:w="120"/>
              <w:bottom w:type="dxa" w:w="100"/>
              <w:right w:type="dxa" w:w="120"/>
            </w:tcMar>
          </w:tcPr>
          <w:p>
            <w:r>
              <w:rPr>
                <w:sz w:val="18"/>
                <w:szCs w:val="18"/>
              </w:rPr>
              <w:t xml:space="preserve">Collective</w:t>
            </w:r>
          </w:p>
        </w:tc>
        <w:tc>
          <w:tcPr>
            <w:tcW w:type="dxa" w:w="6600"/>
            <w:tcMar>
              <w:top w:type="dxa" w:w="100"/>
              <w:left w:type="dxa" w:w="120"/>
              <w:bottom w:type="dxa" w:w="100"/>
              <w:right w:type="dxa" w:w="120"/>
            </w:tcMar>
          </w:tcPr>
          <w:p>
            <w:r>
              <w:rPr>
                <w:sz w:val="18"/>
                <w:szCs w:val="18"/>
              </w:rPr>
              <w:t xml:space="preserve">Heavy pairing, meeting and consensus culture, cross-functional pods, “we win together” throughout.</w:t>
            </w:r>
          </w:p>
        </w:tc>
      </w:tr>
    </w:tbl>
    <w:p>
      <w:pPr>
        <w:pBdr>
          <w:bottom w:val="single" w:color="C8C8C8" w:sz="6" w:space="1"/>
        </w:pBdr>
        <w:spacing w:after="180" w:before="180"/>
      </w:pPr>
      <w:r>
        <w:t xml:space="preserve"/>
      </w:r>
    </w:p>
    <w:p>
      <w:pPr>
        <w:pStyle w:val="Heading1"/>
        <w:spacing w:after="60" w:before="340"/>
      </w:pPr>
      <w:r>
        <w:rPr>
          <w:b/>
          <w:bCs/>
          <w:color w:val="2F4F4A"/>
          <w:sz w:val="30"/>
          <w:szCs w:val="30"/>
        </w:rPr>
        <w:t xml:space="preserve">Feedback Culture</w:t>
      </w:r>
      <w:r>
        <w:rPr>
          <w:b/>
          <w:bCs/>
          <w:color w:val="A0522D"/>
          <w:sz w:val="17"/>
          <w:szCs w:val="17"/>
        </w:rPr>
        <w:t xml:space="preserve">    changed</w:t>
      </w:r>
    </w:p>
    <w:p>
      <w:pPr>
        <w:spacing w:after="150"/>
      </w:pPr>
      <w:r>
        <w:rPr>
          <w:b/>
          <w:bCs/>
          <w:sz w:val="21"/>
          <w:szCs w:val="21"/>
        </w:rPr>
        <w:t xml:space="preserve">Sparse / gentle</w:t>
      </w:r>
      <w:r>
        <w:rPr>
          <w:color w:val="595959"/>
          <w:sz w:val="19"/>
          <w:szCs w:val="19"/>
        </w:rPr>
        <w:t xml:space="preserve">  (0.1)</w:t>
      </w:r>
      <w:r>
        <w:rPr>
          <w:b/>
          <w:bCs/>
          <w:color w:val="2F4F4A"/>
          <w:sz w:val="21"/>
          <w:szCs w:val="21"/>
        </w:rPr>
        <w:t xml:space="preserve">   →   </w:t>
      </w:r>
      <w:r>
        <w:rPr>
          <w:b/>
          <w:bCs/>
          <w:sz w:val="21"/>
          <w:szCs w:val="21"/>
        </w:rPr>
        <w:t xml:space="preserve">Frequent / blunt</w:t>
      </w:r>
      <w:r>
        <w:rPr>
          <w:color w:val="595959"/>
          <w:sz w:val="19"/>
          <w:szCs w:val="19"/>
        </w:rPr>
        <w:t xml:space="preserve">  (0.9)</w:t>
      </w:r>
    </w:p>
    <w:p>
      <w:pPr>
        <w:spacing w:after="40" w:before="170"/>
      </w:pPr>
      <w:r>
        <w:rPr>
          <w:b/>
          <w:bCs/>
          <w:caps/>
          <w:color w:val="595959"/>
          <w:sz w:val="19"/>
          <w:szCs w:val="19"/>
        </w:rPr>
        <w:t xml:space="preserve">Measures</w:t>
      </w:r>
    </w:p>
    <w:p>
      <w:pPr>
        <w:spacing w:after="120" w:line="290"/>
      </w:pPr>
      <w:r>
        <w:rPr>
          <w:i w:val="false"/>
          <w:iCs w:val="false"/>
          <w:color w:val="1A1A1A"/>
          <w:sz w:val="20"/>
          <w:szCs w:val="20"/>
        </w:rPr>
        <w:t xml:space="preserve">How performance feedback flows — occasional and softened vs. frequent, direct and unfiltered.</w:t>
      </w:r>
    </w:p>
    <w:p>
      <w:pPr>
        <w:spacing w:after="40" w:before="170"/>
      </w:pPr>
      <w:r>
        <w:rPr>
          <w:b/>
          <w:bCs/>
          <w:caps/>
          <w:color w:val="595959"/>
          <w:sz w:val="19"/>
          <w:szCs w:val="19"/>
        </w:rPr>
        <w:t xml:space="preserve">Where to look</w:t>
      </w:r>
      <w:r>
        <w:rPr>
          <w:b/>
          <w:bCs/>
          <w:color w:val="A0522D"/>
          <w:sz w:val="16"/>
          <w:szCs w:val="16"/>
        </w:rPr>
        <w:t xml:space="preserve">   ·  changed</w:t>
      </w:r>
    </w:p>
    <w:p>
      <w:pPr>
        <w:spacing w:after="120" w:line="290"/>
      </w:pPr>
      <w:r>
        <w:rPr>
          <w:i w:val="false"/>
          <w:iCs w:val="false"/>
          <w:color w:val="1A1A1A"/>
          <w:sz w:val="20"/>
          <w:szCs w:val="20"/>
        </w:rPr>
        <w:t xml:space="preserve">Explicit description of HOW critique is delivered (direct/blunt vs. softened/diplomatic) and HOW OFTEN performance is discussed (frequent 1:1s or check-ins vs. only an annual review, or no formal cycle mentioned at all). "Radical candor," "direct communication," specific review-cycle cadence, and explicit conflict/debate norms are on-axis. General statements about support, recognition, mentorship, career growth, or team friendliness are NOT on-axis even when they use the word "feedback" — check whether the quote actually describes delivery style or frequency, not just whether it uses feedback-adjacent vocabulary.</w:t>
      </w:r>
    </w:p>
    <w:p>
      <w:pPr>
        <w:pBdr>
          <w:left w:val="single" w:color="C8C8C8" w:sz="8" w:space="10"/>
        </w:pBdr>
        <w:spacing w:after="100" w:line="280"/>
        <w:ind w:left="431"/>
      </w:pPr>
      <w:r>
        <w:rPr>
          <w:i/>
          <w:iCs/>
          <w:color w:val="595959"/>
          <w:sz w:val="17"/>
          <w:szCs w:val="17"/>
        </w:rPr>
        <w:t xml:space="preserve">“Radical candor” or “direct communication” in values, review-cycle frequency, mentions of blunt vs. supportive delivery, debate and critique norms, conflict-avoidant vs. conflict-embracing signals.</w:t>
      </w:r>
    </w:p>
    <w:p>
      <w:pPr>
        <w:spacing w:after="40" w:before="170"/>
      </w:pPr>
      <w:r>
        <w:rPr>
          <w:b/>
          <w:bCs/>
          <w:caps/>
          <w:color w:val="595959"/>
          <w:sz w:val="19"/>
          <w:szCs w:val="19"/>
        </w:rPr>
        <w:t xml:space="preserve">Keep distinct</w:t>
      </w:r>
      <w:r>
        <w:rPr>
          <w:b/>
          <w:bCs/>
          <w:color w:val="A0522D"/>
          <w:sz w:val="16"/>
          <w:szCs w:val="16"/>
        </w:rPr>
        <w:t xml:space="preserve">   ·  changed</w:t>
      </w:r>
    </w:p>
    <w:p>
      <w:pPr>
        <w:spacing w:after="120" w:line="290"/>
      </w:pPr>
      <w:r>
        <w:rPr>
          <w:i w:val="false"/>
          <w:iCs w:val="false"/>
          <w:color w:val="1A1A1A"/>
          <w:sz w:val="20"/>
          <w:szCs w:val="20"/>
        </w:rPr>
        <w:t xml:space="preserve">Score the delivery style and frequency of critique specifically — not whether feedback is "nice," and not general workplace supportiveness. Recognition, appreciation, psychological safety, anti-retaliation policies, mentorship programs, career-development support, and "we care about our people" language are NOT feedback signals.</w:t>
      </w:r>
    </w:p>
    <w:p>
      <w:pPr>
        <w:spacing w:after="120" w:line="290"/>
      </w:pPr>
      <w:r>
        <w:rPr>
          <w:i w:val="false"/>
          <w:iCs w:val="false"/>
          <w:color w:val="1A1A1A"/>
          <w:sz w:val="20"/>
          <w:szCs w:val="20"/>
        </w:rPr>
        <w:t xml:space="preserve">WARMTH IS ORTHOGONAL TO THIS AXIS AND APPEARS AT BOTH POLES. A caring company may give feedback constantly and bluntly; a cold one may give it rarely and vaguely. Supportive-sounding evidence is not low-band evidence — it is not evidence on this axis at all. Do not let it pull a score toward either end.</w:t>
      </w:r>
    </w:p>
    <w:p>
      <w:pPr>
        <w:spacing w:after="120" w:line="290"/>
      </w:pPr>
      <w:r>
        <w:rPr>
          <w:i w:val="false"/>
          <w:iCs w:val="false"/>
          <w:color w:val="1A1A1A"/>
          <w:sz w:val="20"/>
          <w:szCs w:val="20"/>
        </w:rPr>
        <w:t xml:space="preserve">Cross-dimension leaks observed in round 1, in order of how often they occurred:</w:t>
      </w:r>
    </w:p>
    <w:p>
      <w:pPr>
        <w:pStyle w:val="ListParagraph"/>
        <w:numPr>
          <w:ilvl w:val="0"/>
          <w:numId w:val="2"/>
        </w:numPr>
        <w:spacing w:after="90" w:line="280"/>
      </w:pPr>
      <w:r>
        <w:rPr>
          <w:i w:val="false"/>
          <w:iCs w:val="false"/>
          <w:color w:val="1A1A1A"/>
          <w:sz w:val="20"/>
          <w:szCs w:val="20"/>
        </w:rPr>
        <w:t xml:space="preserve">COLLABORATION is the most frequent collision (9 shared passages across raters, the highest of any pair, and it had no guardrail in v1 or in the first v3 draft). How often people talk to each other, how good the working relationships are, and whether the team is pleasant to be in are Collaboration (team density) or nothing — not Feedback. "Comfortable coming forward with questions or concerns," "friendly vibe, good team, good supervisor," "diverse voices and disciplines intersect" were all filed under BOTH dimensions by the same rater. Feedback needs a statement about CRITIQUE: how bluntly it is delivered, or how often.</w:t>
      </w:r>
    </w:p>
    <w:p>
      <w:pPr>
        <w:pStyle w:val="ListParagraph"/>
        <w:numPr>
          <w:ilvl w:val="0"/>
          <w:numId w:val="2"/>
        </w:numPr>
        <w:spacing w:after="90" w:line="280"/>
      </w:pPr>
      <w:r>
        <w:rPr>
          <w:i w:val="false"/>
          <w:iCs w:val="false"/>
          <w:color w:val="1A1A1A"/>
          <w:sz w:val="20"/>
          <w:szCs w:val="20"/>
        </w:rPr>
        <w:t xml:space="preserve">AUTONOMY: "acts on instinct, not instruction" is Autonomy, not Feedback.</w:t>
      </w:r>
    </w:p>
    <w:p>
      <w:pPr>
        <w:pStyle w:val="ListParagraph"/>
        <w:numPr>
          <w:ilvl w:val="0"/>
          <w:numId w:val="2"/>
        </w:numPr>
        <w:spacing w:after="90" w:line="280"/>
      </w:pPr>
      <w:r>
        <w:rPr>
          <w:i w:val="false"/>
          <w:iCs w:val="false"/>
          <w:color w:val="1A1A1A"/>
          <w:sz w:val="20"/>
          <w:szCs w:val="20"/>
        </w:rPr>
        <w:t xml:space="preserve">PACE: response-time expectations ("no one expected to respond immediately") and work-cadence rituals (a weekly "housekeeping" or catch-up day) are Pace, not Feedback, even when they involve people talking to each other regularly.</w:t>
      </w:r>
    </w:p>
    <w:p>
      <w:pPr>
        <w:pBdr>
          <w:left w:val="single" w:color="C8C8C8" w:sz="8" w:space="10"/>
        </w:pBdr>
        <w:spacing w:after="100" w:line="280"/>
        <w:ind w:left="431"/>
      </w:pPr>
      <w:r>
        <w:rPr>
          <w:i/>
          <w:iCs/>
          <w:color w:val="595959"/>
          <w:sz w:val="17"/>
          <w:szCs w:val="17"/>
        </w:rPr>
        <w:t xml:space="preserve">Score the delivery style and frequency of critique, not whether feedback is “nice.” Both poles are legitimate cultures, not good and bad.</w:t>
      </w:r>
    </w:p>
    <w:p>
      <w:pPr>
        <w:spacing w:after="40" w:before="150"/>
      </w:pPr>
      <w:r>
        <w:rPr>
          <w:b/>
          <w:bCs/>
          <w:caps/>
          <w:color w:val="595959"/>
          <w:sz w:val="19"/>
          <w:szCs w:val="19"/>
        </w:rPr>
        <w:t xml:space="preserve">Score bands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600"/>
      </w:tblGrid>
      <w:tr>
        <w:trPr>
          <w:tblHeader/>
        </w:trPr>
        <w:tc>
          <w:tcPr>
            <w:tcW w:type="dxa" w:w="900"/>
            <w:shd w:fill="EEF2F1" w:color="auto" w:val="clear"/>
            <w:tcMar>
              <w:top w:type="dxa" w:w="100"/>
              <w:left w:type="dxa" w:w="120"/>
              <w:bottom w:type="dxa" w:w="100"/>
              <w:right w:type="dxa" w:w="120"/>
            </w:tcMar>
          </w:tcPr>
          <w:p>
            <w:r>
              <w:rPr>
                <w:b/>
                <w:bCs/>
                <w:sz w:val="18"/>
                <w:szCs w:val="18"/>
              </w:rPr>
              <w:t xml:space="preserve">Band</w:t>
            </w:r>
          </w:p>
        </w:tc>
        <w:tc>
          <w:tcPr>
            <w:tcW w:type="dxa" w:w="1500"/>
            <w:shd w:fill="EEF2F1" w:color="auto" w:val="clear"/>
            <w:tcMar>
              <w:top w:type="dxa" w:w="100"/>
              <w:left w:type="dxa" w:w="120"/>
              <w:bottom w:type="dxa" w:w="100"/>
              <w:right w:type="dxa" w:w="120"/>
            </w:tcMar>
          </w:tcPr>
          <w:p>
            <w:r>
              <w:rPr>
                <w:b/>
                <w:bCs/>
                <w:sz w:val="18"/>
                <w:szCs w:val="18"/>
              </w:rPr>
              <w:t xml:space="preserve">Reads as</w:t>
            </w:r>
          </w:p>
        </w:tc>
        <w:tc>
          <w:tcPr>
            <w:tcW w:type="dxa" w:w="6600"/>
            <w:shd w:fill="EEF2F1" w:color="auto" w:val="clear"/>
            <w:tcMar>
              <w:top w:type="dxa" w:w="100"/>
              <w:left w:type="dxa" w:w="120"/>
              <w:bottom w:type="dxa" w:w="100"/>
              <w:right w:type="dxa" w:w="120"/>
            </w:tcMar>
          </w:tcPr>
          <w:p>
            <w:r>
              <w:rPr>
                <w:b/>
                <w:bCs/>
                <w:sz w:val="18"/>
                <w:szCs w:val="18"/>
              </w:rPr>
              <w:t xml:space="preserve">Description</w:t>
            </w:r>
          </w:p>
        </w:tc>
      </w:tr>
      <w:tr>
        <w:tc>
          <w:tcPr>
            <w:tcW w:type="dxa" w:w="900"/>
            <w:shd w:fill="EAF2EE" w:color="auto" w:val="clear"/>
            <w:tcMar>
              <w:top w:type="dxa" w:w="100"/>
              <w:left w:type="dxa" w:w="120"/>
              <w:bottom w:type="dxa" w:w="100"/>
              <w:right w:type="dxa" w:w="120"/>
            </w:tcMar>
          </w:tcPr>
          <w:p>
            <w:r>
              <w:rPr>
                <w:b/>
                <w:bCs/>
                <w:sz w:val="18"/>
                <w:szCs w:val="18"/>
              </w:rPr>
              <w:t xml:space="preserve">0.1</w:t>
            </w:r>
          </w:p>
        </w:tc>
        <w:tc>
          <w:tcPr>
            <w:tcW w:type="dxa" w:w="1500"/>
            <w:shd w:fill="EAF2EE" w:color="auto" w:val="clear"/>
            <w:tcMar>
              <w:top w:type="dxa" w:w="100"/>
              <w:left w:type="dxa" w:w="120"/>
              <w:bottom w:type="dxa" w:w="100"/>
              <w:right w:type="dxa" w:w="120"/>
            </w:tcMar>
          </w:tcPr>
          <w:p>
            <w:r>
              <w:rPr>
                <w:sz w:val="18"/>
                <w:szCs w:val="18"/>
              </w:rPr>
              <w:t xml:space="preserve">Sparse / gentle</w:t>
            </w:r>
          </w:p>
        </w:tc>
        <w:tc>
          <w:tcPr>
            <w:tcW w:type="dxa" w:w="6600"/>
            <w:shd w:fill="EAF2EE" w:color="auto" w:val="clear"/>
            <w:tcMar>
              <w:top w:type="dxa" w:w="100"/>
              <w:left w:type="dxa" w:w="120"/>
              <w:bottom w:type="dxa" w:w="100"/>
              <w:right w:type="dxa" w:w="120"/>
            </w:tcMar>
          </w:tcPr>
          <w:p>
            <w:r>
              <w:rPr>
                <w:sz w:val="18"/>
                <w:szCs w:val="18"/>
              </w:rPr>
              <w:t xml:space="preserve">Feedback is occasional and softened. Critique, when it comes, is cushioned or indirect, and open disagreement is rare in the evidence.</w:t>
            </w:r>
          </w:p>
          <w:p>
            <w:pPr>
              <w:spacing w:before="70"/>
            </w:pPr>
            <w:r>
              <w:rPr>
                <w:b/>
                <w:bCs/>
                <w:color w:val="595959"/>
                <w:sz w:val="16"/>
                <w:szCs w:val="16"/>
              </w:rPr>
              <w:t xml:space="preserve">was: </w:t>
            </w:r>
            <w:r>
              <w:rPr>
                <w:i/>
                <w:iCs/>
                <w:color w:val="595959"/>
                <w:sz w:val="16"/>
                <w:szCs w:val="16"/>
              </w:rPr>
              <w:t xml:space="preserve">Feedback is occasional and softened. Harmony valued, conflict avoided, supportive or nurturing framing.</w:t>
            </w:r>
          </w:p>
        </w:tc>
      </w:tr>
      <w:tr>
        <w:tc>
          <w:tcPr>
            <w:tcW w:type="dxa" w:w="900"/>
            <w:shd w:fill="EAF2EE" w:color="auto" w:val="clear"/>
            <w:tcMar>
              <w:top w:type="dxa" w:w="100"/>
              <w:left w:type="dxa" w:w="120"/>
              <w:bottom w:type="dxa" w:w="100"/>
              <w:right w:type="dxa" w:w="120"/>
            </w:tcMar>
          </w:tcPr>
          <w:p>
            <w:r>
              <w:rPr>
                <w:b/>
                <w:bCs/>
                <w:sz w:val="18"/>
                <w:szCs w:val="18"/>
              </w:rPr>
              <w:t xml:space="preserve">0.3</w:t>
            </w:r>
          </w:p>
        </w:tc>
        <w:tc>
          <w:tcPr>
            <w:tcW w:type="dxa" w:w="1500"/>
            <w:shd w:fill="EAF2EE" w:color="auto" w:val="clear"/>
            <w:tcMar>
              <w:top w:type="dxa" w:w="100"/>
              <w:left w:type="dxa" w:w="120"/>
              <w:bottom w:type="dxa" w:w="100"/>
              <w:right w:type="dxa" w:w="120"/>
            </w:tcMar>
          </w:tcPr>
          <w:p>
            <w:r>
              <w:rPr>
                <w:sz w:val="18"/>
                <w:szCs w:val="18"/>
              </w:rPr>
              <w:t xml:space="preserve">Leaning gentle</w:t>
            </w:r>
          </w:p>
        </w:tc>
        <w:tc>
          <w:tcPr>
            <w:tcW w:type="dxa" w:w="6600"/>
            <w:shd w:fill="EAF2EE" w:color="auto" w:val="clear"/>
            <w:tcMar>
              <w:top w:type="dxa" w:w="100"/>
              <w:left w:type="dxa" w:w="120"/>
              <w:bottom w:type="dxa" w:w="100"/>
              <w:right w:type="dxa" w:w="120"/>
            </w:tcMar>
          </w:tcPr>
          <w:p>
            <w:r>
              <w:rPr>
                <w:sz w:val="18"/>
                <w:szCs w:val="18"/>
              </w:rPr>
              <w:t xml:space="preserve">Feedback arrives mainly on a fixed cycle and is delivered diplomatically. Directness is the exception.</w:t>
            </w:r>
          </w:p>
          <w:p>
            <w:pPr>
              <w:spacing w:before="70"/>
            </w:pPr>
            <w:r>
              <w:rPr>
                <w:b/>
                <w:bCs/>
                <w:color w:val="595959"/>
                <w:sz w:val="16"/>
                <w:szCs w:val="16"/>
              </w:rPr>
              <w:t xml:space="preserve">was: </w:t>
            </w:r>
            <w:r>
              <w:rPr>
                <w:i/>
                <w:iCs/>
                <w:color w:val="595959"/>
                <w:sz w:val="16"/>
                <w:szCs w:val="16"/>
              </w:rPr>
              <w:t xml:space="preserve">Feedback mostly on cycles, delivered with care. Directness is the exception.</w:t>
            </w:r>
          </w:p>
        </w:tc>
      </w:tr>
      <w:tr>
        <w:tc>
          <w:tcPr>
            <w:tcW w:type="dxa" w:w="900"/>
            <w:tcMar>
              <w:top w:type="dxa" w:w="100"/>
              <w:left w:type="dxa" w:w="120"/>
              <w:bottom w:type="dxa" w:w="100"/>
              <w:right w:type="dxa" w:w="120"/>
            </w:tcMar>
          </w:tcPr>
          <w:p>
            <w:r>
              <w:rPr>
                <w:b/>
                <w:bCs/>
                <w:sz w:val="18"/>
                <w:szCs w:val="18"/>
              </w:rPr>
              <w:t xml:space="preserve">0.5</w:t>
            </w:r>
          </w:p>
        </w:tc>
        <w:tc>
          <w:tcPr>
            <w:tcW w:type="dxa" w:w="1500"/>
            <w:tcMar>
              <w:top w:type="dxa" w:w="100"/>
              <w:left w:type="dxa" w:w="120"/>
              <w:bottom w:type="dxa" w:w="100"/>
              <w:right w:type="dxa" w:w="120"/>
            </w:tcMar>
          </w:tcPr>
          <w:p>
            <w:r>
              <w:rPr>
                <w:sz w:val="18"/>
                <w:szCs w:val="18"/>
              </w:rPr>
              <w:t xml:space="preserve">Mixed</w:t>
            </w:r>
          </w:p>
        </w:tc>
        <w:tc>
          <w:tcPr>
            <w:tcW w:type="dxa" w:w="6600"/>
            <w:tcMar>
              <w:top w:type="dxa" w:w="100"/>
              <w:left w:type="dxa" w:w="120"/>
              <w:bottom w:type="dxa" w:w="100"/>
              <w:right w:type="dxa" w:w="120"/>
            </w:tcMar>
          </w:tcPr>
          <w:p>
            <w:r>
              <w:rPr>
                <w:sz w:val="18"/>
                <w:szCs w:val="18"/>
              </w:rPr>
              <w:t xml:space="preserve">Normal mix of scheduled and ad-hoc feedback, moderate directness.</w:t>
            </w:r>
          </w:p>
        </w:tc>
      </w:tr>
      <w:tr>
        <w:tc>
          <w:tcPr>
            <w:tcW w:type="dxa" w:w="900"/>
            <w:tcMar>
              <w:top w:type="dxa" w:w="100"/>
              <w:left w:type="dxa" w:w="120"/>
              <w:bottom w:type="dxa" w:w="100"/>
              <w:right w:type="dxa" w:w="120"/>
            </w:tcMar>
          </w:tcPr>
          <w:p>
            <w:r>
              <w:rPr>
                <w:b/>
                <w:bCs/>
                <w:sz w:val="18"/>
                <w:szCs w:val="18"/>
              </w:rPr>
              <w:t xml:space="preserve">0.7</w:t>
            </w:r>
          </w:p>
        </w:tc>
        <w:tc>
          <w:tcPr>
            <w:tcW w:type="dxa" w:w="1500"/>
            <w:tcMar>
              <w:top w:type="dxa" w:w="100"/>
              <w:left w:type="dxa" w:w="120"/>
              <w:bottom w:type="dxa" w:w="100"/>
              <w:right w:type="dxa" w:w="120"/>
            </w:tcMar>
          </w:tcPr>
          <w:p>
            <w:r>
              <w:rPr>
                <w:sz w:val="18"/>
                <w:szCs w:val="18"/>
              </w:rPr>
              <w:t xml:space="preserve">Leaning blunt</w:t>
            </w:r>
          </w:p>
        </w:tc>
        <w:tc>
          <w:tcPr>
            <w:tcW w:type="dxa" w:w="6600"/>
            <w:tcMar>
              <w:top w:type="dxa" w:w="100"/>
              <w:left w:type="dxa" w:w="120"/>
              <w:bottom w:type="dxa" w:w="100"/>
              <w:right w:type="dxa" w:w="120"/>
            </w:tcMar>
          </w:tcPr>
          <w:p>
            <w:r>
              <w:rPr>
                <w:sz w:val="18"/>
                <w:szCs w:val="18"/>
              </w:rPr>
              <w:t xml:space="preserve">Frequent, fairly direct feedback; debate is normal; thicker skin helps.</w:t>
            </w:r>
          </w:p>
        </w:tc>
      </w:tr>
      <w:tr>
        <w:tc>
          <w:tcPr>
            <w:tcW w:type="dxa" w:w="900"/>
            <w:tcMar>
              <w:top w:type="dxa" w:w="100"/>
              <w:left w:type="dxa" w:w="120"/>
              <w:bottom w:type="dxa" w:w="100"/>
              <w:right w:type="dxa" w:w="120"/>
            </w:tcMar>
          </w:tcPr>
          <w:p>
            <w:r>
              <w:rPr>
                <w:b/>
                <w:bCs/>
                <w:sz w:val="18"/>
                <w:szCs w:val="18"/>
              </w:rPr>
              <w:t xml:space="preserve">0.9</w:t>
            </w:r>
          </w:p>
        </w:tc>
        <w:tc>
          <w:tcPr>
            <w:tcW w:type="dxa" w:w="1500"/>
            <w:tcMar>
              <w:top w:type="dxa" w:w="100"/>
              <w:left w:type="dxa" w:w="120"/>
              <w:bottom w:type="dxa" w:w="100"/>
              <w:right w:type="dxa" w:w="120"/>
            </w:tcMar>
          </w:tcPr>
          <w:p>
            <w:r>
              <w:rPr>
                <w:sz w:val="18"/>
                <w:szCs w:val="18"/>
              </w:rPr>
              <w:t xml:space="preserve">Frequent / blunt</w:t>
            </w:r>
          </w:p>
        </w:tc>
        <w:tc>
          <w:tcPr>
            <w:tcW w:type="dxa" w:w="6600"/>
            <w:tcMar>
              <w:top w:type="dxa" w:w="100"/>
              <w:left w:type="dxa" w:w="120"/>
              <w:bottom w:type="dxa" w:w="100"/>
              <w:right w:type="dxa" w:w="120"/>
            </w:tcMar>
          </w:tcPr>
          <w:p>
            <w:r>
              <w:rPr>
                <w:sz w:val="18"/>
                <w:szCs w:val="18"/>
              </w:rPr>
              <w:t xml:space="preserve">Radical candor, constant unfiltered input, “we tell it straight,” critique and debate are the default.</w:t>
            </w:r>
          </w:p>
        </w:tc>
      </w:tr>
    </w:tbl>
    <w:p>
      <w:pPr>
        <w:pBdr>
          <w:bottom w:val="single" w:color="C8C8C8" w:sz="6" w:space="1"/>
        </w:pBdr>
        <w:spacing w:after="180" w:before="180"/>
      </w:pPr>
      <w:r>
        <w:t xml:space="preserve"/>
      </w:r>
    </w:p>
    <w:p>
      <w:pPr>
        <w:pStyle w:val="Heading1"/>
        <w:spacing w:after="60" w:before="340"/>
      </w:pPr>
      <w:r>
        <w:rPr>
          <w:b/>
          <w:bCs/>
          <w:color w:val="2F4F4A"/>
          <w:sz w:val="30"/>
          <w:szCs w:val="30"/>
        </w:rPr>
        <w:t xml:space="preserve">Innovation Stance</w:t>
      </w:r>
      <w:r>
        <w:rPr>
          <w:b/>
          <w:bCs/>
          <w:color w:val="A0522D"/>
          <w:sz w:val="17"/>
          <w:szCs w:val="17"/>
        </w:rPr>
        <w:t xml:space="preserve">    changed</w:t>
      </w:r>
    </w:p>
    <w:p>
      <w:pPr>
        <w:spacing w:after="150"/>
      </w:pPr>
      <w:r>
        <w:rPr>
          <w:b/>
          <w:bCs/>
          <w:sz w:val="21"/>
          <w:szCs w:val="21"/>
        </w:rPr>
        <w:t xml:space="preserve">Refine / optimize</w:t>
      </w:r>
      <w:r>
        <w:rPr>
          <w:color w:val="595959"/>
          <w:sz w:val="19"/>
          <w:szCs w:val="19"/>
        </w:rPr>
        <w:t xml:space="preserve">  (0.1)</w:t>
      </w:r>
      <w:r>
        <w:rPr>
          <w:b/>
          <w:bCs/>
          <w:color w:val="2F4F4A"/>
          <w:sz w:val="21"/>
          <w:szCs w:val="21"/>
        </w:rPr>
        <w:t xml:space="preserve">   →   </w:t>
      </w:r>
      <w:r>
        <w:rPr>
          <w:b/>
          <w:bCs/>
          <w:sz w:val="21"/>
          <w:szCs w:val="21"/>
        </w:rPr>
        <w:t xml:space="preserve">Invent / explore</w:t>
      </w:r>
      <w:r>
        <w:rPr>
          <w:color w:val="595959"/>
          <w:sz w:val="19"/>
          <w:szCs w:val="19"/>
        </w:rPr>
        <w:t xml:space="preserve">  (0.9)</w:t>
      </w:r>
    </w:p>
    <w:p>
      <w:pPr>
        <w:spacing w:after="40" w:before="170"/>
      </w:pPr>
      <w:r>
        <w:rPr>
          <w:b/>
          <w:bCs/>
          <w:caps/>
          <w:color w:val="595959"/>
          <w:sz w:val="19"/>
          <w:szCs w:val="19"/>
        </w:rPr>
        <w:t xml:space="preserve">Measures</w:t>
      </w:r>
    </w:p>
    <w:p>
      <w:pPr>
        <w:spacing w:after="120" w:line="290"/>
      </w:pPr>
      <w:r>
        <w:rPr>
          <w:i w:val="false"/>
          <w:iCs w:val="false"/>
          <w:color w:val="1A1A1A"/>
          <w:sz w:val="20"/>
          <w:szCs w:val="20"/>
        </w:rPr>
        <w:t xml:space="preserve">Where the work sits on the create-vs-refine axis — improving and scaling what exists vs. inventing what does not exist yet.</w:t>
      </w:r>
    </w:p>
    <w:p>
      <w:pPr>
        <w:spacing w:after="40" w:before="170"/>
      </w:pPr>
      <w:r>
        <w:rPr>
          <w:b/>
          <w:bCs/>
          <w:caps/>
          <w:color w:val="595959"/>
          <w:sz w:val="19"/>
          <w:szCs w:val="19"/>
        </w:rPr>
        <w:t xml:space="preserve">Where to look</w:t>
      </w:r>
      <w:r>
        <w:rPr>
          <w:b/>
          <w:bCs/>
          <w:color w:val="A0522D"/>
          <w:sz w:val="16"/>
          <w:szCs w:val="16"/>
        </w:rPr>
        <w:t xml:space="preserve">   ·  changed</w:t>
      </w:r>
    </w:p>
    <w:p>
      <w:pPr>
        <w:spacing w:after="120" w:line="290"/>
      </w:pPr>
      <w:r>
        <w:rPr>
          <w:i w:val="false"/>
          <w:iCs w:val="false"/>
          <w:color w:val="1A1A1A"/>
          <w:sz w:val="20"/>
          <w:szCs w:val="20"/>
        </w:rPr>
        <w:t xml:space="preserve">R&amp;D emphasis, “0-to-1” vs. “scale what works” language, how much of the roadmap is new capability vs. improvement of shipped capability, tolerance for failed bets. Ignore process rigidity here — a documented, tightly-governed process says nothing about whether the output is novel, and belongs under Autonomy.</w:t>
      </w:r>
    </w:p>
    <w:p>
      <w:pPr>
        <w:pBdr>
          <w:left w:val="single" w:color="C8C8C8" w:sz="8" w:space="10"/>
        </w:pBdr>
        <w:spacing w:after="100" w:line="280"/>
        <w:ind w:left="431"/>
      </w:pPr>
      <w:r>
        <w:rPr>
          <w:i/>
          <w:iCs/>
          <w:color w:val="595959"/>
          <w:sz w:val="17"/>
          <w:szCs w:val="17"/>
        </w:rPr>
        <w:t xml:space="preserve">R&amp;D emphasis, “0-to-1” vs. “operational excellence” language, product maturity, tolerance for failed bets, “experiment” vs. “scale what works.”</w:t>
      </w:r>
    </w:p>
    <w:p>
      <w:pPr>
        <w:spacing w:after="40" w:before="170"/>
      </w:pPr>
      <w:r>
        <w:rPr>
          <w:b/>
          <w:bCs/>
          <w:caps/>
          <w:color w:val="595959"/>
          <w:sz w:val="19"/>
          <w:szCs w:val="19"/>
        </w:rPr>
        <w:t xml:space="preserve">Keep distinct</w:t>
      </w:r>
      <w:r>
        <w:rPr>
          <w:b/>
          <w:bCs/>
          <w:color w:val="A0522D"/>
          <w:sz w:val="16"/>
          <w:szCs w:val="16"/>
        </w:rPr>
        <w:t xml:space="preserve">   ·  changed</w:t>
      </w:r>
    </w:p>
    <w:p>
      <w:pPr>
        <w:spacing w:after="120" w:line="290"/>
      </w:pPr>
      <w:r>
        <w:rPr>
          <w:i w:val="false"/>
          <w:iCs w:val="false"/>
          <w:color w:val="1A1A1A"/>
          <w:sz w:val="20"/>
          <w:szCs w:val="20"/>
        </w:rPr>
        <w:t xml:space="preserve">Not the same as Pace. Optimizing can be frantic; inventing can be slow. Score novelty of the work, not its speed. Also not the same as Autonomy. How prescribed the method is says nothing about how novel the output is — a rigid playbook can govern genuinely new work, and a fully self-directed team can spend all of it refining what exists. Do not read “follows a detailed brief” as low Innovation or “builds their own approach” as high Innovation; those are decision-rights facts and belong under Autonomy.</w:t>
      </w:r>
    </w:p>
    <w:p>
      <w:pPr>
        <w:pBdr>
          <w:left w:val="single" w:color="C8C8C8" w:sz="8" w:space="10"/>
        </w:pBdr>
        <w:spacing w:after="100" w:line="280"/>
        <w:ind w:left="431"/>
      </w:pPr>
      <w:r>
        <w:rPr>
          <w:i/>
          <w:iCs/>
          <w:color w:val="595959"/>
          <w:sz w:val="17"/>
          <w:szCs w:val="17"/>
        </w:rPr>
        <w:t xml:space="preserve">Not the same as Pace. Optimizing can be frantic; inventing can be slow. Score novelty of the work, not its speed.</w:t>
      </w:r>
    </w:p>
    <w:p>
      <w:pPr>
        <w:spacing w:after="40" w:before="150"/>
      </w:pPr>
      <w:r>
        <w:rPr>
          <w:b/>
          <w:bCs/>
          <w:caps/>
          <w:color w:val="595959"/>
          <w:sz w:val="19"/>
          <w:szCs w:val="19"/>
        </w:rPr>
        <w:t xml:space="preserve">Score bands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600"/>
      </w:tblGrid>
      <w:tr>
        <w:trPr>
          <w:tblHeader/>
        </w:trPr>
        <w:tc>
          <w:tcPr>
            <w:tcW w:type="dxa" w:w="900"/>
            <w:shd w:fill="EEF2F1" w:color="auto" w:val="clear"/>
            <w:tcMar>
              <w:top w:type="dxa" w:w="100"/>
              <w:left w:type="dxa" w:w="120"/>
              <w:bottom w:type="dxa" w:w="100"/>
              <w:right w:type="dxa" w:w="120"/>
            </w:tcMar>
          </w:tcPr>
          <w:p>
            <w:r>
              <w:rPr>
                <w:b/>
                <w:bCs/>
                <w:sz w:val="18"/>
                <w:szCs w:val="18"/>
              </w:rPr>
              <w:t xml:space="preserve">Band</w:t>
            </w:r>
          </w:p>
        </w:tc>
        <w:tc>
          <w:tcPr>
            <w:tcW w:type="dxa" w:w="1500"/>
            <w:shd w:fill="EEF2F1" w:color="auto" w:val="clear"/>
            <w:tcMar>
              <w:top w:type="dxa" w:w="100"/>
              <w:left w:type="dxa" w:w="120"/>
              <w:bottom w:type="dxa" w:w="100"/>
              <w:right w:type="dxa" w:w="120"/>
            </w:tcMar>
          </w:tcPr>
          <w:p>
            <w:r>
              <w:rPr>
                <w:b/>
                <w:bCs/>
                <w:sz w:val="18"/>
                <w:szCs w:val="18"/>
              </w:rPr>
              <w:t xml:space="preserve">Reads as</w:t>
            </w:r>
          </w:p>
        </w:tc>
        <w:tc>
          <w:tcPr>
            <w:tcW w:type="dxa" w:w="6600"/>
            <w:shd w:fill="EEF2F1" w:color="auto" w:val="clear"/>
            <w:tcMar>
              <w:top w:type="dxa" w:w="100"/>
              <w:left w:type="dxa" w:w="120"/>
              <w:bottom w:type="dxa" w:w="100"/>
              <w:right w:type="dxa" w:w="120"/>
            </w:tcMar>
          </w:tcPr>
          <w:p>
            <w:r>
              <w:rPr>
                <w:b/>
                <w:bCs/>
                <w:sz w:val="18"/>
                <w:szCs w:val="18"/>
              </w:rPr>
              <w:t xml:space="preserve">Description</w:t>
            </w:r>
          </w:p>
        </w:tc>
      </w:tr>
      <w:tr>
        <w:tc>
          <w:tcPr>
            <w:tcW w:type="dxa" w:w="900"/>
            <w:shd w:fill="EAF2EE" w:color="auto" w:val="clear"/>
            <w:tcMar>
              <w:top w:type="dxa" w:w="100"/>
              <w:left w:type="dxa" w:w="120"/>
              <w:bottom w:type="dxa" w:w="100"/>
              <w:right w:type="dxa" w:w="120"/>
            </w:tcMar>
          </w:tcPr>
          <w:p>
            <w:r>
              <w:rPr>
                <w:b/>
                <w:bCs/>
                <w:sz w:val="18"/>
                <w:szCs w:val="18"/>
              </w:rPr>
              <w:t xml:space="preserve">0.1</w:t>
            </w:r>
          </w:p>
        </w:tc>
        <w:tc>
          <w:tcPr>
            <w:tcW w:type="dxa" w:w="1500"/>
            <w:shd w:fill="EAF2EE" w:color="auto" w:val="clear"/>
            <w:tcMar>
              <w:top w:type="dxa" w:w="100"/>
              <w:left w:type="dxa" w:w="120"/>
              <w:bottom w:type="dxa" w:w="100"/>
              <w:right w:type="dxa" w:w="120"/>
            </w:tcMar>
          </w:tcPr>
          <w:p>
            <w:r>
              <w:rPr>
                <w:sz w:val="18"/>
                <w:szCs w:val="18"/>
              </w:rPr>
              <w:t xml:space="preserve">Refine / optimize</w:t>
            </w:r>
          </w:p>
        </w:tc>
        <w:tc>
          <w:tcPr>
            <w:tcW w:type="dxa" w:w="6600"/>
            <w:shd w:fill="EAF2EE" w:color="auto" w:val="clear"/>
            <w:tcMar>
              <w:top w:type="dxa" w:w="100"/>
              <w:left w:type="dxa" w:w="120"/>
              <w:bottom w:type="dxa" w:w="100"/>
              <w:right w:type="dxa" w:w="120"/>
            </w:tcMar>
          </w:tcPr>
          <w:p>
            <w:r>
              <w:rPr>
                <w:sz w:val="18"/>
                <w:szCs w:val="18"/>
              </w:rPr>
              <w:t xml:space="preserve">The work is making an existing product better rather than creating a new one — incremental improvement to something already in market, no new-category bets.</w:t>
            </w:r>
          </w:p>
          <w:p>
            <w:pPr>
              <w:spacing w:before="70"/>
            </w:pPr>
            <w:r>
              <w:rPr>
                <w:b/>
                <w:bCs/>
                <w:color w:val="595959"/>
                <w:sz w:val="16"/>
                <w:szCs w:val="16"/>
              </w:rPr>
              <w:t xml:space="preserve">was: </w:t>
            </w:r>
            <w:r>
              <w:rPr>
                <w:i/>
                <w:iCs/>
                <w:color w:val="595959"/>
                <w:sz w:val="16"/>
                <w:szCs w:val="16"/>
              </w:rPr>
              <w:t xml:space="preserve">Operational excellence, refine and scale existing product, efficiency focus, mature offering.</w:t>
            </w:r>
          </w:p>
        </w:tc>
      </w:tr>
      <w:tr>
        <w:tc>
          <w:tcPr>
            <w:tcW w:type="dxa" w:w="900"/>
            <w:shd w:fill="EAF2EE" w:color="auto" w:val="clear"/>
            <w:tcMar>
              <w:top w:type="dxa" w:w="100"/>
              <w:left w:type="dxa" w:w="120"/>
              <w:bottom w:type="dxa" w:w="100"/>
              <w:right w:type="dxa" w:w="120"/>
            </w:tcMar>
          </w:tcPr>
          <w:p>
            <w:r>
              <w:rPr>
                <w:b/>
                <w:bCs/>
                <w:sz w:val="18"/>
                <w:szCs w:val="18"/>
              </w:rPr>
              <w:t xml:space="preserve">0.3</w:t>
            </w:r>
          </w:p>
        </w:tc>
        <w:tc>
          <w:tcPr>
            <w:tcW w:type="dxa" w:w="1500"/>
            <w:shd w:fill="EAF2EE" w:color="auto" w:val="clear"/>
            <w:tcMar>
              <w:top w:type="dxa" w:w="100"/>
              <w:left w:type="dxa" w:w="120"/>
              <w:bottom w:type="dxa" w:w="100"/>
              <w:right w:type="dxa" w:w="120"/>
            </w:tcMar>
          </w:tcPr>
          <w:p>
            <w:r>
              <w:rPr>
                <w:sz w:val="18"/>
                <w:szCs w:val="18"/>
              </w:rPr>
              <w:t xml:space="preserve">Leaning optimize</w:t>
            </w:r>
          </w:p>
        </w:tc>
        <w:tc>
          <w:tcPr>
            <w:tcW w:type="dxa" w:w="6600"/>
            <w:shd w:fill="EAF2EE" w:color="auto" w:val="clear"/>
            <w:tcMar>
              <w:top w:type="dxa" w:w="100"/>
              <w:left w:type="dxa" w:w="120"/>
              <w:bottom w:type="dxa" w:w="100"/>
              <w:right w:type="dxa" w:w="120"/>
            </w:tcMar>
          </w:tcPr>
          <w:p>
            <w:r>
              <w:rPr>
                <w:sz w:val="18"/>
                <w:szCs w:val="18"/>
              </w:rPr>
              <w:t xml:space="preserve">Mostly improving things that already exist; occasional genuinely new bets at the edges.</w:t>
            </w:r>
          </w:p>
          <w:p>
            <w:pPr>
              <w:spacing w:before="70"/>
            </w:pPr>
            <w:r>
              <w:rPr>
                <w:b/>
                <w:bCs/>
                <w:color w:val="595959"/>
                <w:sz w:val="16"/>
                <w:szCs w:val="16"/>
              </w:rPr>
              <w:t xml:space="preserve">was: </w:t>
            </w:r>
            <w:r>
              <w:rPr>
                <w:i/>
                <w:iCs/>
                <w:color w:val="595959"/>
                <w:sz w:val="16"/>
                <w:szCs w:val="16"/>
              </w:rPr>
              <w:t xml:space="preserve">Mostly improving known things; occasional new bets at the edges.</w:t>
            </w:r>
          </w:p>
        </w:tc>
      </w:tr>
      <w:tr>
        <w:tc>
          <w:tcPr>
            <w:tcW w:type="dxa" w:w="900"/>
            <w:tcMar>
              <w:top w:type="dxa" w:w="100"/>
              <w:left w:type="dxa" w:w="120"/>
              <w:bottom w:type="dxa" w:w="100"/>
              <w:right w:type="dxa" w:w="120"/>
            </w:tcMar>
          </w:tcPr>
          <w:p>
            <w:r>
              <w:rPr>
                <w:b/>
                <w:bCs/>
                <w:sz w:val="18"/>
                <w:szCs w:val="18"/>
              </w:rPr>
              <w:t xml:space="preserve">0.5</w:t>
            </w:r>
          </w:p>
        </w:tc>
        <w:tc>
          <w:tcPr>
            <w:tcW w:type="dxa" w:w="1500"/>
            <w:tcMar>
              <w:top w:type="dxa" w:w="100"/>
              <w:left w:type="dxa" w:w="120"/>
              <w:bottom w:type="dxa" w:w="100"/>
              <w:right w:type="dxa" w:w="120"/>
            </w:tcMar>
          </w:tcPr>
          <w:p>
            <w:r>
              <w:rPr>
                <w:sz w:val="18"/>
                <w:szCs w:val="18"/>
              </w:rPr>
              <w:t xml:space="preserve">Mixed</w:t>
            </w:r>
          </w:p>
        </w:tc>
        <w:tc>
          <w:tcPr>
            <w:tcW w:type="dxa" w:w="6600"/>
            <w:tcMar>
              <w:top w:type="dxa" w:w="100"/>
              <w:left w:type="dxa" w:w="120"/>
              <w:bottom w:type="dxa" w:w="100"/>
              <w:right w:type="dxa" w:w="120"/>
            </w:tcMar>
          </w:tcPr>
          <w:p>
            <w:r>
              <w:rPr>
                <w:sz w:val="18"/>
                <w:szCs w:val="18"/>
              </w:rPr>
              <w:t xml:space="preserve">Real split between maintaining and creating; no dominant stance.</w:t>
            </w:r>
          </w:p>
        </w:tc>
      </w:tr>
      <w:tr>
        <w:tc>
          <w:tcPr>
            <w:tcW w:type="dxa" w:w="900"/>
            <w:tcMar>
              <w:top w:type="dxa" w:w="100"/>
              <w:left w:type="dxa" w:w="120"/>
              <w:bottom w:type="dxa" w:w="100"/>
              <w:right w:type="dxa" w:w="120"/>
            </w:tcMar>
          </w:tcPr>
          <w:p>
            <w:r>
              <w:rPr>
                <w:b/>
                <w:bCs/>
                <w:sz w:val="18"/>
                <w:szCs w:val="18"/>
              </w:rPr>
              <w:t xml:space="preserve">0.7</w:t>
            </w:r>
          </w:p>
        </w:tc>
        <w:tc>
          <w:tcPr>
            <w:tcW w:type="dxa" w:w="1500"/>
            <w:tcMar>
              <w:top w:type="dxa" w:w="100"/>
              <w:left w:type="dxa" w:w="120"/>
              <w:bottom w:type="dxa" w:w="100"/>
              <w:right w:type="dxa" w:w="120"/>
            </w:tcMar>
          </w:tcPr>
          <w:p>
            <w:r>
              <w:rPr>
                <w:sz w:val="18"/>
                <w:szCs w:val="18"/>
              </w:rPr>
              <w:t xml:space="preserve">Leaning invent</w:t>
            </w:r>
          </w:p>
        </w:tc>
        <w:tc>
          <w:tcPr>
            <w:tcW w:type="dxa" w:w="6600"/>
            <w:tcMar>
              <w:top w:type="dxa" w:w="100"/>
              <w:left w:type="dxa" w:w="120"/>
              <w:bottom w:type="dxa" w:w="100"/>
              <w:right w:type="dxa" w:w="120"/>
            </w:tcMar>
          </w:tcPr>
          <w:p>
            <w:r>
              <w:rPr>
                <w:sz w:val="18"/>
                <w:szCs w:val="18"/>
              </w:rPr>
              <w:t xml:space="preserve">New-product or new-capability work is common; experimentation encouraged.</w:t>
            </w:r>
          </w:p>
        </w:tc>
      </w:tr>
      <w:tr>
        <w:tc>
          <w:tcPr>
            <w:tcW w:type="dxa" w:w="900"/>
            <w:tcMar>
              <w:top w:type="dxa" w:w="100"/>
              <w:left w:type="dxa" w:w="120"/>
              <w:bottom w:type="dxa" w:w="100"/>
              <w:right w:type="dxa" w:w="120"/>
            </w:tcMar>
          </w:tcPr>
          <w:p>
            <w:r>
              <w:rPr>
                <w:b/>
                <w:bCs/>
                <w:sz w:val="18"/>
                <w:szCs w:val="18"/>
              </w:rPr>
              <w:t xml:space="preserve">0.9</w:t>
            </w:r>
          </w:p>
        </w:tc>
        <w:tc>
          <w:tcPr>
            <w:tcW w:type="dxa" w:w="1500"/>
            <w:tcMar>
              <w:top w:type="dxa" w:w="100"/>
              <w:left w:type="dxa" w:w="120"/>
              <w:bottom w:type="dxa" w:w="100"/>
              <w:right w:type="dxa" w:w="120"/>
            </w:tcMar>
          </w:tcPr>
          <w:p>
            <w:r>
              <w:rPr>
                <w:sz w:val="18"/>
                <w:szCs w:val="18"/>
              </w:rPr>
              <w:t xml:space="preserve">Invent / explore</w:t>
            </w:r>
          </w:p>
        </w:tc>
        <w:tc>
          <w:tcPr>
            <w:tcW w:type="dxa" w:w="6600"/>
            <w:tcMar>
              <w:top w:type="dxa" w:w="100"/>
              <w:left w:type="dxa" w:w="120"/>
              <w:bottom w:type="dxa" w:w="100"/>
              <w:right w:type="dxa" w:w="120"/>
            </w:tcMar>
          </w:tcPr>
          <w:p>
            <w:r>
              <w:rPr>
                <w:sz w:val="18"/>
                <w:szCs w:val="18"/>
              </w:rPr>
              <w:t xml:space="preserve">R&amp;D-forward, novel products, “0-to-1,” research culture, explicit tolerance for failed experiments.</w:t>
            </w:r>
          </w:p>
        </w:tc>
      </w:tr>
    </w:tbl>
    <w:p>
      <w:pPr>
        <w:pBdr>
          <w:bottom w:val="single" w:color="C8C8C8" w:sz="6" w:space="1"/>
        </w:pBdr>
        <w:spacing w:after="180" w:before="180"/>
      </w:pPr>
      <w:r>
        <w:t xml:space="preserve"/>
      </w:r>
    </w:p>
    <w:p>
      <w:pPr>
        <w:pStyle w:val="Heading1"/>
        <w:spacing w:after="60" w:before="340"/>
      </w:pPr>
      <w:r>
        <w:rPr>
          <w:b/>
          <w:bCs/>
          <w:color w:val="2F4F4A"/>
          <w:sz w:val="30"/>
          <w:szCs w:val="30"/>
        </w:rPr>
        <w:t xml:space="preserve">Decision Basis</w:t>
      </w:r>
      <w:r>
        <w:rPr>
          <w:b/>
          <w:bCs/>
          <w:color w:val="A0522D"/>
          <w:sz w:val="17"/>
          <w:szCs w:val="17"/>
        </w:rPr>
        <w:t xml:space="preserve">    changed</w:t>
      </w:r>
    </w:p>
    <w:p>
      <w:pPr>
        <w:spacing w:after="150"/>
      </w:pPr>
      <w:r>
        <w:rPr>
          <w:b/>
          <w:bCs/>
          <w:sz w:val="21"/>
          <w:szCs w:val="21"/>
        </w:rPr>
        <w:t xml:space="preserve">Intuition / judgement</w:t>
      </w:r>
      <w:r>
        <w:rPr>
          <w:color w:val="595959"/>
          <w:sz w:val="19"/>
          <w:szCs w:val="19"/>
        </w:rPr>
        <w:t xml:space="preserve">  (0.1)</w:t>
      </w:r>
      <w:r>
        <w:rPr>
          <w:b/>
          <w:bCs/>
          <w:color w:val="2F4F4A"/>
          <w:sz w:val="21"/>
          <w:szCs w:val="21"/>
        </w:rPr>
        <w:t xml:space="preserve">   →   </w:t>
      </w:r>
      <w:r>
        <w:rPr>
          <w:b/>
          <w:bCs/>
          <w:sz w:val="21"/>
          <w:szCs w:val="21"/>
        </w:rPr>
        <w:t xml:space="preserve">Data / analysis</w:t>
      </w:r>
      <w:r>
        <w:rPr>
          <w:color w:val="595959"/>
          <w:sz w:val="19"/>
          <w:szCs w:val="19"/>
        </w:rPr>
        <w:t xml:space="preserve">  (0.9)</w:t>
      </w:r>
    </w:p>
    <w:p>
      <w:pPr>
        <w:spacing w:after="40" w:before="170"/>
      </w:pPr>
      <w:r>
        <w:rPr>
          <w:b/>
          <w:bCs/>
          <w:caps/>
          <w:color w:val="595959"/>
          <w:sz w:val="19"/>
          <w:szCs w:val="19"/>
        </w:rPr>
        <w:t xml:space="preserve">Measures</w:t>
      </w:r>
    </w:p>
    <w:p>
      <w:pPr>
        <w:spacing w:after="120" w:line="290"/>
      </w:pPr>
      <w:r>
        <w:rPr>
          <w:i w:val="false"/>
          <w:iCs w:val="false"/>
          <w:color w:val="1A1A1A"/>
          <w:sz w:val="20"/>
          <w:szCs w:val="20"/>
        </w:rPr>
        <w:t xml:space="preserve">What decisions actually rest on — experience, taste and judgement vs. metrics, experiments and analysis.</w:t>
      </w:r>
    </w:p>
    <w:p>
      <w:pPr>
        <w:spacing w:after="40" w:before="170"/>
      </w:pPr>
      <w:r>
        <w:rPr>
          <w:b/>
          <w:bCs/>
          <w:caps/>
          <w:color w:val="595959"/>
          <w:sz w:val="19"/>
          <w:szCs w:val="19"/>
        </w:rPr>
        <w:t xml:space="preserve">Where to look</w:t>
      </w:r>
      <w:r>
        <w:rPr>
          <w:b/>
          <w:bCs/>
          <w:color w:val="A0522D"/>
          <w:sz w:val="16"/>
          <w:szCs w:val="16"/>
        </w:rPr>
        <w:t xml:space="preserve">   ·  changed</w:t>
      </w:r>
    </w:p>
    <w:p>
      <w:pPr>
        <w:spacing w:after="120" w:line="290"/>
      </w:pPr>
      <w:r>
        <w:rPr>
          <w:i w:val="false"/>
          <w:iCs w:val="false"/>
          <w:color w:val="1A1A1A"/>
          <w:sz w:val="20"/>
          <w:szCs w:val="20"/>
        </w:rPr>
        <w:t xml:space="preserve">“Data-driven” language, A/B testing and analytics infrastructure, metrics-gated launches, dashboards, KPI- or analytics-heavy job responsibilities, vs. founder-gut, design-led, “trust your judgement,” or “taste and curation” signals. Do NOT count language about approval layers, ownership, independence, or process formality here — that is Autonomy, see keep_distinct.</w:t>
      </w:r>
    </w:p>
    <w:p>
      <w:pPr>
        <w:pBdr>
          <w:left w:val="single" w:color="C8C8C8" w:sz="8" w:space="10"/>
        </w:pBdr>
        <w:spacing w:after="100" w:line="280"/>
        <w:ind w:left="431"/>
      </w:pPr>
      <w:r>
        <w:rPr>
          <w:i/>
          <w:iCs/>
          <w:color w:val="595959"/>
          <w:sz w:val="17"/>
          <w:szCs w:val="17"/>
        </w:rPr>
        <w:t xml:space="preserve">“Data-driven” language, A/B testing and analytics infrastructure, metrics-gated launches, dashboards, vs. founder-gut, design-led or “trust your judgement” signals.</w:t>
      </w:r>
    </w:p>
    <w:p>
      <w:pPr>
        <w:spacing w:after="40" w:before="170"/>
      </w:pPr>
      <w:r>
        <w:rPr>
          <w:b/>
          <w:bCs/>
          <w:caps/>
          <w:color w:val="595959"/>
          <w:sz w:val="19"/>
          <w:szCs w:val="19"/>
        </w:rPr>
        <w:t xml:space="preserve">Keep distinct</w:t>
      </w:r>
      <w:r>
        <w:rPr>
          <w:b/>
          <w:bCs/>
          <w:color w:val="A0522D"/>
          <w:sz w:val="16"/>
          <w:szCs w:val="16"/>
        </w:rPr>
        <w:t xml:space="preserve">   ·  changed</w:t>
      </w:r>
    </w:p>
    <w:p>
      <w:pPr>
        <w:spacing w:after="120" w:line="290"/>
      </w:pPr>
      <w:r>
        <w:rPr>
          <w:i w:val="false"/>
          <w:iCs w:val="false"/>
          <w:color w:val="1A1A1A"/>
          <w:sz w:val="20"/>
          <w:szCs w:val="20"/>
        </w:rPr>
        <w:t xml:space="preserve">Score the basis of decisions, not their quality — a taste-led company is not worse than a data-led one, they select for different people. Also not the same as Autonomy: this dimension is about what a decision rests on (data vs. judgement), not who has authority to make it or how much process surrounds it. “Decisively,” “ownership,” “without a formalized process,” “little or no direction,” “following procedures,” and “conservative, long-term view” are Autonomy or values signals, not Decision signals, even when they sit in the same sentence as something that sounds decision-related. A company can require heavy approval and still be entirely data-driven within that approval process, or grant total independence and still run on pure gut feel.</w:t>
      </w:r>
    </w:p>
    <w:p>
      <w:pPr>
        <w:pBdr>
          <w:left w:val="single" w:color="C8C8C8" w:sz="8" w:space="10"/>
        </w:pBdr>
        <w:spacing w:after="100" w:line="280"/>
        <w:ind w:left="431"/>
      </w:pPr>
      <w:r>
        <w:rPr>
          <w:i/>
          <w:iCs/>
          <w:color w:val="595959"/>
          <w:sz w:val="17"/>
          <w:szCs w:val="17"/>
        </w:rPr>
        <w:t xml:space="preserve">Score the basis of decisions, not their quality. A taste-led company is not worse than a data-led one; they select for different people.</w:t>
      </w:r>
    </w:p>
    <w:p>
      <w:pPr>
        <w:spacing w:after="40" w:before="150"/>
      </w:pPr>
      <w:r>
        <w:rPr>
          <w:b/>
          <w:bCs/>
          <w:caps/>
          <w:color w:val="595959"/>
          <w:sz w:val="19"/>
          <w:szCs w:val="19"/>
        </w:rPr>
        <w:t xml:space="preserve">Score bands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600"/>
      </w:tblGrid>
      <w:tr>
        <w:trPr>
          <w:tblHeader/>
        </w:trPr>
        <w:tc>
          <w:tcPr>
            <w:tcW w:type="dxa" w:w="900"/>
            <w:shd w:fill="EEF2F1" w:color="auto" w:val="clear"/>
            <w:tcMar>
              <w:top w:type="dxa" w:w="100"/>
              <w:left w:type="dxa" w:w="120"/>
              <w:bottom w:type="dxa" w:w="100"/>
              <w:right w:type="dxa" w:w="120"/>
            </w:tcMar>
          </w:tcPr>
          <w:p>
            <w:r>
              <w:rPr>
                <w:b/>
                <w:bCs/>
                <w:sz w:val="18"/>
                <w:szCs w:val="18"/>
              </w:rPr>
              <w:t xml:space="preserve">Band</w:t>
            </w:r>
          </w:p>
        </w:tc>
        <w:tc>
          <w:tcPr>
            <w:tcW w:type="dxa" w:w="1500"/>
            <w:shd w:fill="EEF2F1" w:color="auto" w:val="clear"/>
            <w:tcMar>
              <w:top w:type="dxa" w:w="100"/>
              <w:left w:type="dxa" w:w="120"/>
              <w:bottom w:type="dxa" w:w="100"/>
              <w:right w:type="dxa" w:w="120"/>
            </w:tcMar>
          </w:tcPr>
          <w:p>
            <w:r>
              <w:rPr>
                <w:b/>
                <w:bCs/>
                <w:sz w:val="18"/>
                <w:szCs w:val="18"/>
              </w:rPr>
              <w:t xml:space="preserve">Reads as</w:t>
            </w:r>
          </w:p>
        </w:tc>
        <w:tc>
          <w:tcPr>
            <w:tcW w:type="dxa" w:w="6600"/>
            <w:shd w:fill="EEF2F1" w:color="auto" w:val="clear"/>
            <w:tcMar>
              <w:top w:type="dxa" w:w="100"/>
              <w:left w:type="dxa" w:w="120"/>
              <w:bottom w:type="dxa" w:w="100"/>
              <w:right w:type="dxa" w:w="120"/>
            </w:tcMar>
          </w:tcPr>
          <w:p>
            <w:r>
              <w:rPr>
                <w:b/>
                <w:bCs/>
                <w:sz w:val="18"/>
                <w:szCs w:val="18"/>
              </w:rPr>
              <w:t xml:space="preserve">Description</w:t>
            </w:r>
          </w:p>
        </w:tc>
      </w:tr>
      <w:tr>
        <w:tc>
          <w:tcPr>
            <w:tcW w:type="dxa" w:w="900"/>
            <w:tcMar>
              <w:top w:type="dxa" w:w="100"/>
              <w:left w:type="dxa" w:w="120"/>
              <w:bottom w:type="dxa" w:w="100"/>
              <w:right w:type="dxa" w:w="120"/>
            </w:tcMar>
          </w:tcPr>
          <w:p>
            <w:r>
              <w:rPr>
                <w:b/>
                <w:bCs/>
                <w:sz w:val="18"/>
                <w:szCs w:val="18"/>
              </w:rPr>
              <w:t xml:space="preserve">0.1</w:t>
            </w:r>
          </w:p>
        </w:tc>
        <w:tc>
          <w:tcPr>
            <w:tcW w:type="dxa" w:w="1500"/>
            <w:tcMar>
              <w:top w:type="dxa" w:w="100"/>
              <w:left w:type="dxa" w:w="120"/>
              <w:bottom w:type="dxa" w:w="100"/>
              <w:right w:type="dxa" w:w="120"/>
            </w:tcMar>
          </w:tcPr>
          <w:p>
            <w:r>
              <w:rPr>
                <w:sz w:val="18"/>
                <w:szCs w:val="18"/>
              </w:rPr>
              <w:t xml:space="preserve">Intuition / judgement</w:t>
            </w:r>
          </w:p>
        </w:tc>
        <w:tc>
          <w:tcPr>
            <w:tcW w:type="dxa" w:w="6600"/>
            <w:tcMar>
              <w:top w:type="dxa" w:w="100"/>
              <w:left w:type="dxa" w:w="120"/>
              <w:bottom w:type="dxa" w:w="100"/>
              <w:right w:type="dxa" w:w="120"/>
            </w:tcMar>
          </w:tcPr>
          <w:p>
            <w:r>
              <w:rPr>
                <w:sz w:val="18"/>
                <w:szCs w:val="18"/>
              </w:rPr>
              <w:t xml:space="preserve">Taste, vision and experience lead. Founder gut or design-led; “trust your judgement.”</w:t>
            </w:r>
          </w:p>
        </w:tc>
      </w:tr>
      <w:tr>
        <w:tc>
          <w:tcPr>
            <w:tcW w:type="dxa" w:w="900"/>
            <w:tcMar>
              <w:top w:type="dxa" w:w="100"/>
              <w:left w:type="dxa" w:w="120"/>
              <w:bottom w:type="dxa" w:w="100"/>
              <w:right w:type="dxa" w:w="120"/>
            </w:tcMar>
          </w:tcPr>
          <w:p>
            <w:r>
              <w:rPr>
                <w:b/>
                <w:bCs/>
                <w:sz w:val="18"/>
                <w:szCs w:val="18"/>
              </w:rPr>
              <w:t xml:space="preserve">0.3</w:t>
            </w:r>
          </w:p>
        </w:tc>
        <w:tc>
          <w:tcPr>
            <w:tcW w:type="dxa" w:w="1500"/>
            <w:tcMar>
              <w:top w:type="dxa" w:w="100"/>
              <w:left w:type="dxa" w:w="120"/>
              <w:bottom w:type="dxa" w:w="100"/>
              <w:right w:type="dxa" w:w="120"/>
            </w:tcMar>
          </w:tcPr>
          <w:p>
            <w:r>
              <w:rPr>
                <w:sz w:val="18"/>
                <w:szCs w:val="18"/>
              </w:rPr>
              <w:t xml:space="preserve">Leaning intuition</w:t>
            </w:r>
          </w:p>
        </w:tc>
        <w:tc>
          <w:tcPr>
            <w:tcW w:type="dxa" w:w="6600"/>
            <w:tcMar>
              <w:top w:type="dxa" w:w="100"/>
              <w:left w:type="dxa" w:w="120"/>
              <w:bottom w:type="dxa" w:w="100"/>
              <w:right w:type="dxa" w:w="120"/>
            </w:tcMar>
          </w:tcPr>
          <w:p>
            <w:r>
              <w:rPr>
                <w:sz w:val="18"/>
                <w:szCs w:val="18"/>
              </w:rPr>
              <w:t xml:space="preserve">Judgement-first, data used to confirm rather than decide.</w:t>
            </w:r>
          </w:p>
        </w:tc>
      </w:tr>
      <w:tr>
        <w:tc>
          <w:tcPr>
            <w:tcW w:type="dxa" w:w="900"/>
            <w:shd w:fill="EAF2EE" w:color="auto" w:val="clear"/>
            <w:tcMar>
              <w:top w:type="dxa" w:w="100"/>
              <w:left w:type="dxa" w:w="120"/>
              <w:bottom w:type="dxa" w:w="100"/>
              <w:right w:type="dxa" w:w="120"/>
            </w:tcMar>
          </w:tcPr>
          <w:p>
            <w:r>
              <w:rPr>
                <w:b/>
                <w:bCs/>
                <w:sz w:val="18"/>
                <w:szCs w:val="18"/>
              </w:rPr>
              <w:t xml:space="preserve">0.5</w:t>
            </w:r>
          </w:p>
        </w:tc>
        <w:tc>
          <w:tcPr>
            <w:tcW w:type="dxa" w:w="1500"/>
            <w:shd w:fill="EAF2EE" w:color="auto" w:val="clear"/>
            <w:tcMar>
              <w:top w:type="dxa" w:w="100"/>
              <w:left w:type="dxa" w:w="120"/>
              <w:bottom w:type="dxa" w:w="100"/>
              <w:right w:type="dxa" w:w="120"/>
            </w:tcMar>
          </w:tcPr>
          <w:p>
            <w:r>
              <w:rPr>
                <w:sz w:val="18"/>
                <w:szCs w:val="18"/>
              </w:rPr>
              <w:t xml:space="preserve">Mixed</w:t>
            </w:r>
          </w:p>
        </w:tc>
        <w:tc>
          <w:tcPr>
            <w:tcW w:type="dxa" w:w="6600"/>
            <w:shd w:fill="EAF2EE" w:color="auto" w:val="clear"/>
            <w:tcMar>
              <w:top w:type="dxa" w:w="100"/>
              <w:left w:type="dxa" w:w="120"/>
              <w:bottom w:type="dxa" w:w="100"/>
              <w:right w:type="dxa" w:w="120"/>
            </w:tcMar>
          </w:tcPr>
          <w:p>
            <w:r>
              <w:rPr>
                <w:sz w:val="18"/>
                <w:szCs w:val="18"/>
              </w:rPr>
              <w:t xml:space="preserve">Both judgement and data carry weight depending on the call. Use this band when different parts of the packet point to different poles — that is what it exists for. Do not resolve a genuine conflict in the evidence by picking the quote you find most persuasive; that is exactly the kind of read that produces spread between raters.</w:t>
            </w:r>
          </w:p>
          <w:p>
            <w:pPr>
              <w:spacing w:before="70"/>
            </w:pPr>
            <w:r>
              <w:rPr>
                <w:b/>
                <w:bCs/>
                <w:color w:val="595959"/>
                <w:sz w:val="16"/>
                <w:szCs w:val="16"/>
              </w:rPr>
              <w:t xml:space="preserve">was: </w:t>
            </w:r>
            <w:r>
              <w:rPr>
                <w:i/>
                <w:iCs/>
                <w:color w:val="595959"/>
                <w:sz w:val="16"/>
                <w:szCs w:val="16"/>
              </w:rPr>
              <w:t xml:space="preserve">Both judgement and data carry weight depending on the call.</w:t>
            </w:r>
          </w:p>
        </w:tc>
      </w:tr>
      <w:tr>
        <w:tc>
          <w:tcPr>
            <w:tcW w:type="dxa" w:w="900"/>
            <w:tcMar>
              <w:top w:type="dxa" w:w="100"/>
              <w:left w:type="dxa" w:w="120"/>
              <w:bottom w:type="dxa" w:w="100"/>
              <w:right w:type="dxa" w:w="120"/>
            </w:tcMar>
          </w:tcPr>
          <w:p>
            <w:r>
              <w:rPr>
                <w:b/>
                <w:bCs/>
                <w:sz w:val="18"/>
                <w:szCs w:val="18"/>
              </w:rPr>
              <w:t xml:space="preserve">0.7</w:t>
            </w:r>
          </w:p>
        </w:tc>
        <w:tc>
          <w:tcPr>
            <w:tcW w:type="dxa" w:w="1500"/>
            <w:tcMar>
              <w:top w:type="dxa" w:w="100"/>
              <w:left w:type="dxa" w:w="120"/>
              <w:bottom w:type="dxa" w:w="100"/>
              <w:right w:type="dxa" w:w="120"/>
            </w:tcMar>
          </w:tcPr>
          <w:p>
            <w:r>
              <w:rPr>
                <w:sz w:val="18"/>
                <w:szCs w:val="18"/>
              </w:rPr>
              <w:t xml:space="preserve">Leaning data</w:t>
            </w:r>
          </w:p>
        </w:tc>
        <w:tc>
          <w:tcPr>
            <w:tcW w:type="dxa" w:w="6600"/>
            <w:tcMar>
              <w:top w:type="dxa" w:w="100"/>
              <w:left w:type="dxa" w:w="120"/>
              <w:bottom w:type="dxa" w:w="100"/>
              <w:right w:type="dxa" w:w="120"/>
            </w:tcMar>
          </w:tcPr>
          <w:p>
            <w:r>
              <w:rPr>
                <w:sz w:val="18"/>
                <w:szCs w:val="18"/>
              </w:rPr>
              <w:t xml:space="preserve">Metrics and experiments usually drive decisions; judgement fills gaps.</w:t>
            </w:r>
          </w:p>
        </w:tc>
      </w:tr>
      <w:tr>
        <w:tc>
          <w:tcPr>
            <w:tcW w:type="dxa" w:w="900"/>
            <w:tcMar>
              <w:top w:type="dxa" w:w="100"/>
              <w:left w:type="dxa" w:w="120"/>
              <w:bottom w:type="dxa" w:w="100"/>
              <w:right w:type="dxa" w:w="120"/>
            </w:tcMar>
          </w:tcPr>
          <w:p>
            <w:r>
              <w:rPr>
                <w:b/>
                <w:bCs/>
                <w:sz w:val="18"/>
                <w:szCs w:val="18"/>
              </w:rPr>
              <w:t xml:space="preserve">0.9</w:t>
            </w:r>
          </w:p>
        </w:tc>
        <w:tc>
          <w:tcPr>
            <w:tcW w:type="dxa" w:w="1500"/>
            <w:tcMar>
              <w:top w:type="dxa" w:w="100"/>
              <w:left w:type="dxa" w:w="120"/>
              <w:bottom w:type="dxa" w:w="100"/>
              <w:right w:type="dxa" w:w="120"/>
            </w:tcMar>
          </w:tcPr>
          <w:p>
            <w:r>
              <w:rPr>
                <w:sz w:val="18"/>
                <w:szCs w:val="18"/>
              </w:rPr>
              <w:t xml:space="preserve">Data / analysis</w:t>
            </w:r>
          </w:p>
        </w:tc>
        <w:tc>
          <w:tcPr>
            <w:tcW w:type="dxa" w:w="6600"/>
            <w:tcMar>
              <w:top w:type="dxa" w:w="100"/>
              <w:left w:type="dxa" w:w="120"/>
              <w:bottom w:type="dxa" w:w="100"/>
              <w:right w:type="dxa" w:w="120"/>
            </w:tcMar>
          </w:tcPr>
          <w:p>
            <w:r>
              <w:rPr>
                <w:sz w:val="18"/>
                <w:szCs w:val="18"/>
              </w:rPr>
              <w:t xml:space="preserve">“Data-driven,” experiment-gated, metrics-first, A/B-everything, analytics-heavy.</w:t>
            </w:r>
          </w:p>
        </w:tc>
      </w:tr>
    </w:tbl>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2026-09-02T11:30:29.950Z</dcterms:created>
  <dcterms:modified xsi:type="dcterms:W3CDTF">2026-09-02T11:30:29.950Z</dcterms:modified>
</cp:coreProperties>
</file>

<file path=docProps/custom.xml><?xml version="1.0" encoding="utf-8"?>
<Properties xmlns="http://schemas.openxmlformats.org/officeDocument/2006/custom-properties" xmlns:vt="http://schemas.openxmlformats.org/officeDocument/2006/docPropsVTypes"/>
</file>