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4374"/>
          <w:spacing w:val="60"/>
          <w:sz w:val="24"/>
          <w:szCs w:val="24"/>
        </w:rPr>
        <w:t xml:space="preserve">SOLVERAH</w:t>
      </w:r>
    </w:p>
    <w:p>
      <w:pPr>
        <w:spacing w:after="60"/>
      </w:pPr>
      <w:r>
        <w:rPr>
          <w:b/>
          <w:bCs/>
          <w:color w:val="1A1A2E"/>
          <w:sz w:val="40"/>
          <w:szCs w:val="40"/>
        </w:rPr>
        <w:t xml:space="preserve">Company Culture Rating Rubric</w:t>
      </w:r>
    </w:p>
    <w:p>
      <w:pPr>
        <w:pBdr>
          <w:bottom w:val="single" w:color="2E4374" w:sz="12" w:space="6"/>
        </w:pBdr>
        <w:spacing w:after="140"/>
      </w:pPr>
      <w:r>
        <w:rPr>
          <w:i/>
          <w:iCs/>
          <w:color w:val="555555"/>
          <w:sz w:val="20"/>
          <w:szCs w:val="20"/>
        </w:rPr>
        <w:t xml:space="preserve">Ground-truth scoring instrument · v1 · anchors the 0–1 scale for expert raters</w:t>
      </w:r>
    </w:p>
    <w:p>
      <w:pPr>
        <w:spacing w:after="100" w:line="276"/>
      </w:pPr>
      <w:r>
        <w:rPr>
          <w:b/>
          <w:bCs/>
          <w:sz w:val="21"/>
          <w:szCs w:val="21"/>
        </w:rPr>
        <w:t xml:space="preserve">Purpose. </w:t>
      </w:r>
      <w:r>
        <w:rPr>
          <w:sz w:val="21"/>
          <w:szCs w:val="21"/>
        </w:rPr>
        <w:t xml:space="preserve">This is the instrument an expert rater uses to score a company 0–1 on each culture dimension from evidence. Its job is to make two people reading the same evidence land on the same number. Those scores become the ground-truth set that calibrates the scraping pipeline and the person↔company scale.</w:t>
      </w:r>
    </w:p>
    <w:p>
      <w:pPr>
        <w:spacing w:after="140" w:line="276"/>
      </w:pPr>
      <w:r>
        <w:rPr>
          <w:b/>
          <w:bCs/>
          <w:sz w:val="21"/>
          <w:szCs w:val="21"/>
        </w:rPr>
        <w:t xml:space="preserve">The scale is fixed and shared with the person side. </w:t>
      </w:r>
      <w:r>
        <w:rPr>
          <w:sz w:val="21"/>
          <w:szCs w:val="21"/>
        </w:rPr>
        <w:t xml:space="preserve">0.0 = the low pole, 1.0 = the high pole — the exact same anchoring the candidate assessment uses. A company’s score and a person’s score on the same dimension are directly comparable; the model subtracts them (person − company) to get a signed gap. If you flip a pole here, every gap on that dimension silently inverts. Do not reinterpret the poles.</w:t>
      </w:r>
    </w:p>
    <w:p>
      <w:pPr>
        <w:pStyle w:val="Heading1"/>
        <w:spacing w:after="140" w:before="260"/>
      </w:pPr>
      <w:r>
        <w:rPr>
          <w:b/>
          <w:bCs/>
          <w:color w:val="2E4374"/>
          <w:sz w:val="30"/>
          <w:szCs w:val="30"/>
        </w:rPr>
        <w:t xml:space="preserve">How to use this</w:t>
      </w:r>
    </w:p>
    <w:p>
      <w:pPr>
        <w:pStyle w:val="ListParagraph"/>
        <w:numPr>
          <w:ilvl w:val="0"/>
          <w:numId w:val="1"/>
        </w:numPr>
        <w:spacing w:after="60" w:line="264"/>
      </w:pPr>
      <w:r>
        <w:rPr>
          <w:b w:val="false"/>
          <w:bCs w:val="false"/>
          <w:color w:val="1A1A2E"/>
          <w:sz w:val="21"/>
          <w:szCs w:val="21"/>
        </w:rPr>
        <w:t xml:space="preserve">Gather the evidence packet first (see the scoring workbook). Score from what’s in front of you, not from reputation or memory.</w:t>
      </w:r>
    </w:p>
    <w:p>
      <w:pPr>
        <w:pStyle w:val="ListParagraph"/>
        <w:numPr>
          <w:ilvl w:val="0"/>
          <w:numId w:val="1"/>
        </w:numPr>
        <w:spacing w:after="60" w:line="264"/>
      </w:pPr>
      <w:r>
        <w:rPr>
          <w:color w:val="1A1A2E"/>
          <w:sz w:val="21"/>
          <w:szCs w:val="21"/>
        </w:rPr>
        <w:t xml:space="preserve">Score each of the six dimensions independently. Finish one, then move on — don’t let a company’s overall vibe set all six numbers.</w:t>
      </w:r>
    </w:p>
    <w:p>
      <w:pPr>
        <w:pStyle w:val="ListParagraph"/>
        <w:numPr>
          <w:ilvl w:val="0"/>
          <w:numId w:val="1"/>
        </w:numPr>
        <w:spacing w:after="60" w:line="264"/>
      </w:pPr>
      <w:r>
        <w:rPr>
          <w:color w:val="1A1A2E"/>
          <w:sz w:val="21"/>
          <w:szCs w:val="21"/>
        </w:rPr>
        <w:t xml:space="preserve">For each dimension, find the band whose evidence description best matches, then pick a number inside that band. Use 0.5 only when the evidence is genuinely balanced or genuinely absent — not as a way to avoid deciding.</w:t>
      </w:r>
    </w:p>
    <w:p>
      <w:pPr>
        <w:pStyle w:val="ListParagraph"/>
        <w:numPr>
          <w:ilvl w:val="0"/>
          <w:numId w:val="1"/>
        </w:numPr>
        <w:spacing w:after="60" w:line="264"/>
      </w:pPr>
      <w:r>
        <w:rPr>
          <w:color w:val="1A1A2E"/>
          <w:sz w:val="21"/>
          <w:szCs w:val="21"/>
        </w:rPr>
        <w:t xml:space="preserve">Record a confidence (0–1) and a one-line evidence note beside every score. Low confidence is information, not failure — it tells the model to trust its prior.</w:t>
      </w:r>
    </w:p>
    <w:p>
      <w:pPr>
        <w:pStyle w:val="ListParagraph"/>
        <w:numPr>
          <w:ilvl w:val="0"/>
          <w:numId w:val="1"/>
        </w:numPr>
        <w:spacing w:after="60" w:line="264"/>
      </w:pPr>
      <w:r>
        <w:rPr>
          <w:color w:val="1A1A2E"/>
          <w:sz w:val="21"/>
          <w:szCs w:val="21"/>
        </w:rPr>
        <w:t xml:space="preserve">Also record the three confounders (stage/size, comp, industry). They are common causes of the culture scores; the model needs them to avoid crediting the wrong thing.</w:t>
      </w:r>
    </w:p>
    <w:p>
      <w:pPr>
        <w:pStyle w:val="Heading1"/>
        <w:spacing w:after="140" w:before="260"/>
      </w:pPr>
      <w:r>
        <w:rPr>
          <w:b/>
          <w:bCs/>
          <w:color w:val="2E4374"/>
          <w:sz w:val="30"/>
          <w:szCs w:val="30"/>
        </w:rPr>
        <w:t xml:space="preserve">Five gates — read before every scoring session</w:t>
      </w:r>
    </w:p>
    <w:p>
      <w:pPr>
        <w:pBdr>
          <w:left w:val="single" w:color="C58A1A" w:sz="18" w:space="8"/>
        </w:pBdr>
        <w:shd w:fill="FBEED6" w:color="auto" w:val="clear"/>
        <w:spacing w:after="60" w:before="40"/>
      </w:pPr>
      <w:r>
        <w:rPr>
          <w:b/>
          <w:bCs/>
          <w:color w:val="6B4A00"/>
          <w:sz w:val="21"/>
          <w:szCs w:val="21"/>
        </w:rPr>
        <w:t xml:space="preserve">1.  Neither pole is better.  </w:t>
      </w:r>
      <w:r>
        <w:rPr>
          <w:color w:val="3A3A2A"/>
          <w:sz w:val="21"/>
          <w:szCs w:val="21"/>
        </w:rPr>
        <w:t xml:space="preserve">Every dimension runs between two legitimate cultures. “Directed” is not worse than “self-directed.” If you catch yourself scoring toward the pole you personally prefer, stop — that’s bias, not signal.</w:t>
      </w:r>
    </w:p>
    <w:p>
      <w:pPr>
        <w:pBdr>
          <w:left w:val="single" w:color="C58A1A" w:sz="18" w:space="8"/>
        </w:pBdr>
        <w:shd w:fill="FBEED6" w:color="auto" w:val="clear"/>
        <w:spacing w:after="60" w:before="40"/>
      </w:pPr>
      <w:r>
        <w:rPr>
          <w:b/>
          <w:bCs/>
          <w:color w:val="6B4A00"/>
          <w:sz w:val="21"/>
          <w:szCs w:val="21"/>
        </w:rPr>
        <w:t xml:space="preserve">2.  Score the company as it is, not as you’d like it.  </w:t>
      </w:r>
      <w:r>
        <w:rPr>
          <w:color w:val="3A3A2A"/>
          <w:sz w:val="21"/>
          <w:szCs w:val="21"/>
        </w:rPr>
        <w:t xml:space="preserve">You are describing a culture, not grading it. Aspirational careers-page copy is weak evidence; how people describe daily reality is strong evidence.</w:t>
      </w:r>
    </w:p>
    <w:p>
      <w:pPr>
        <w:pBdr>
          <w:left w:val="single" w:color="C58A1A" w:sz="18" w:space="8"/>
        </w:pBdr>
        <w:shd w:fill="FBEED6" w:color="auto" w:val="clear"/>
        <w:spacing w:after="60" w:before="40"/>
      </w:pPr>
      <w:r>
        <w:rPr>
          <w:b/>
          <w:bCs/>
          <w:color w:val="6B4A00"/>
          <w:sz w:val="21"/>
          <w:szCs w:val="21"/>
        </w:rPr>
        <w:t xml:space="preserve">3.  Kill the halo.  </w:t>
      </w:r>
      <w:r>
        <w:rPr>
          <w:color w:val="3A3A2A"/>
          <w:sz w:val="21"/>
          <w:szCs w:val="21"/>
        </w:rPr>
        <w:t xml:space="preserve">A prestigious or well-liked brand tends to drag every score toward “good.” Score each dimension only from evidence about that dimension. Prestige is captured separately as a confounder, on purpose.</w:t>
      </w:r>
    </w:p>
    <w:p>
      <w:pPr>
        <w:pBdr>
          <w:left w:val="single" w:color="C58A1A" w:sz="18" w:space="8"/>
        </w:pBdr>
        <w:shd w:fill="FBEED6" w:color="auto" w:val="clear"/>
        <w:spacing w:after="60" w:before="40"/>
      </w:pPr>
      <w:r>
        <w:rPr>
          <w:b/>
          <w:bCs/>
          <w:color w:val="6B4A00"/>
          <w:sz w:val="21"/>
          <w:szCs w:val="21"/>
        </w:rPr>
        <w:t xml:space="preserve">4.  Evidence over gut.  </w:t>
      </w:r>
      <w:r>
        <w:rPr>
          <w:color w:val="3A3A2A"/>
          <w:sz w:val="21"/>
          <w:szCs w:val="21"/>
        </w:rPr>
        <w:t xml:space="preserve">If you can’t point to a line in the packet that supports the number, lower your confidence. A guess dressed as a 0.9 poisons the ground truth more than an honest 0.5 at low confidence.</w:t>
      </w:r>
    </w:p>
    <w:p>
      <w:pPr>
        <w:pBdr>
          <w:left w:val="single" w:color="C58A1A" w:sz="18" w:space="8"/>
        </w:pBdr>
        <w:shd w:fill="FBEED6" w:color="auto" w:val="clear"/>
        <w:spacing w:after="60" w:before="40"/>
      </w:pPr>
      <w:r>
        <w:rPr>
          <w:b/>
          <w:bCs/>
          <w:color w:val="6B4A00"/>
          <w:sz w:val="21"/>
          <w:szCs w:val="21"/>
        </w:rPr>
        <w:t xml:space="preserve">5.  Stale culture is wrong culture.  </w:t>
      </w:r>
      <w:r>
        <w:rPr>
          <w:color w:val="3A3A2A"/>
          <w:sz w:val="21"/>
          <w:szCs w:val="21"/>
        </w:rPr>
        <w:t xml:space="preserve">Culture drifts with stage. Date every score (as_of) and prefer recent evidence; a Series-A read from four years ago no longer describes the same company.</w:t>
      </w:r>
    </w:p>
    <w:p>
      <w:r>
        <w:br w:type="page"/>
      </w:r>
    </w:p>
    <w:p>
      <w:pPr>
        <w:pStyle w:val="Heading1"/>
        <w:spacing w:after="140" w:before="260"/>
      </w:pPr>
      <w:r>
        <w:rPr>
          <w:b/>
          <w:bCs/>
          <w:color w:val="2E4374"/>
          <w:sz w:val="30"/>
          <w:szCs w:val="30"/>
        </w:rPr>
        <w:t xml:space="preserve">The six dimensions</w:t>
      </w:r>
    </w:p>
    <w:p>
      <w:pPr>
        <w:spacing w:after="140" w:before="0" w:line="276"/>
      </w:pPr>
      <w:r>
        <w:rPr>
          <w:i/>
          <w:iCs/>
          <w:color w:val="555555"/>
          <w:sz w:val="21"/>
          <w:szCs w:val="21"/>
        </w:rPr>
        <w:t xml:space="preserve">Bands shade from the low pole (blue) through mixed (grey) to the high pole (warm). Pick a number inside the matching band; the bands are guides, not the only allowed values.</w:t>
      </w:r>
    </w:p>
    <w:p>
      <w:pPr>
        <w:pStyle w:val="Heading2"/>
        <w:spacing w:after="80" w:before="240"/>
      </w:pPr>
      <w:r>
        <w:rPr>
          <w:b/>
          <w:bCs/>
          <w:color w:val="2E4374"/>
          <w:sz w:val="25"/>
          <w:szCs w:val="25"/>
        </w:rPr>
        <w:t xml:space="preserve">Autonomy</w:t>
      </w:r>
      <w:r>
        <w:rPr>
          <w:b w:val="false"/>
          <w:bCs w:val="false"/>
          <w:color w:val="666666"/>
          <w:sz w:val="20"/>
          <w:szCs w:val="20"/>
        </w:rPr>
        <w:t xml:space="preserve">   Directed (0.0)  →  Self-directed (1.0)</w:t>
      </w:r>
    </w:p>
    <w:p>
      <w:pPr>
        <w:spacing w:after="60" w:line="276"/>
      </w:pPr>
      <w:r>
        <w:rPr>
          <w:b/>
          <w:bCs/>
          <w:sz w:val="20"/>
          <w:szCs w:val="20"/>
        </w:rPr>
        <w:t xml:space="preserve">Measures:  </w:t>
      </w:r>
      <w:r>
        <w:rPr>
          <w:sz w:val="20"/>
          <w:szCs w:val="20"/>
        </w:rPr>
        <w:t xml:space="preserve">How much latitude individuals have to set their own approach, priorities, and decisions vs. following assigned direction, defined process, and approval chains.</w:t>
      </w:r>
    </w:p>
    <w:p>
      <w:pPr>
        <w:spacing w:after="60" w:line="276"/>
      </w:pPr>
      <w:r>
        <w:rPr>
          <w:b/>
          <w:bCs/>
          <w:sz w:val="20"/>
          <w:szCs w:val="20"/>
        </w:rPr>
        <w:t xml:space="preserve">Where to look:  </w:t>
      </w:r>
      <w:r>
        <w:rPr>
          <w:sz w:val="20"/>
          <w:szCs w:val="20"/>
        </w:rPr>
        <w:t xml:space="preserve">Job-post verbs (“execute against the roadmap” vs. “own your domain end-to-end”), number of approval layers, presence of detailed SOP/process docs, review mentions of micromanagement vs. freedom, IC decision rights, remote-trust language.</w:t>
      </w:r>
    </w:p>
    <w:p>
      <w:pPr>
        <w:spacing w:after="100" w:line="276"/>
      </w:pPr>
      <w:r>
        <w:rPr>
          <w:b/>
          <w:bCs/>
          <w:color w:val="8A5A00"/>
          <w:sz w:val="20"/>
          <w:szCs w:val="20"/>
        </w:rPr>
        <w:t xml:space="preserve">Keep distinct:  </w:t>
      </w:r>
      <w:r>
        <w:rPr>
          <w:i/>
          <w:iCs/>
          <w:color w:val="8A5A00"/>
          <w:sz w:val="20"/>
          <w:szCs w:val="20"/>
        </w:rPr>
        <w:t xml:space="preserve">Not the same as Collaboration. A person can be highly self-directed AND work collectively. Autonomy is about who decides the how; Collaboration is about alone vs. together.</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500"/>
        <w:gridCol w:w="2100"/>
        <w:gridCol w:w="6480"/>
      </w:tblGrid>
      <w:tr>
        <w:trPr>
          <w:tblHeader/>
        </w:trPr>
        <w:tc>
          <w:tcPr>
            <w:tcW w:type="dxa" w:w="1500"/>
            <w:shd w:fill="2E4374" w:color="auto" w:val="clear"/>
            <w:tcMar>
              <w:top w:type="dxa" w:w="60"/>
              <w:left w:type="dxa" w:w="90"/>
              <w:bottom w:type="dxa" w:w="60"/>
              <w:right w:type="dxa" w:w="90"/>
            </w:tcMar>
          </w:tcPr>
          <w:p>
            <w:pPr>
              <w:spacing w:after="0" w:line="258"/>
              <w:jc w:val="center"/>
            </w:pPr>
            <w:r>
              <w:rPr>
                <w:b/>
                <w:bCs/>
                <w:color w:val="FFFFFF"/>
                <w:sz w:val="19"/>
                <w:szCs w:val="19"/>
              </w:rPr>
              <w:t xml:space="preserve">Score band</w:t>
            </w:r>
          </w:p>
        </w:tc>
        <w:tc>
          <w:tcPr>
            <w:tcW w:type="dxa" w:w="21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480"/>
            <w:shd w:fill="2E4374" w:color="auto" w:val="clear"/>
            <w:tcMar>
              <w:top w:type="dxa" w:w="60"/>
              <w:left w:type="dxa" w:w="90"/>
              <w:bottom w:type="dxa" w:w="60"/>
              <w:right w:type="dxa" w:w="90"/>
            </w:tcMar>
          </w:tcPr>
          <w:p>
            <w:pPr>
              <w:spacing w:after="0" w:line="258"/>
            </w:pPr>
            <w:r>
              <w:rPr>
                <w:b/>
                <w:bCs/>
                <w:color w:val="FFFFFF"/>
                <w:sz w:val="19"/>
                <w:szCs w:val="19"/>
              </w:rPr>
              <w:t xml:space="preserve">What the evidence looks like</w:t>
            </w:r>
          </w:p>
        </w:tc>
      </w:tr>
      <w:tr>
        <w:tc>
          <w:tcPr>
            <w:tcW w:type="dxa" w:w="1500"/>
            <w:shd w:fill="E8EDF5" w:color="auto" w:val="clear"/>
            <w:tcMar>
              <w:top w:type="dxa" w:w="60"/>
              <w:left w:type="dxa" w:w="90"/>
              <w:bottom w:type="dxa" w:w="60"/>
              <w:right w:type="dxa" w:w="90"/>
            </w:tcMar>
          </w:tcPr>
          <w:p>
            <w:pPr>
              <w:spacing w:after="0" w:line="258"/>
              <w:jc w:val="center"/>
            </w:pPr>
            <w:r>
              <w:rPr>
                <w:b/>
                <w:bCs/>
                <w:color w:val="1A1A2E"/>
                <w:sz w:val="20"/>
                <w:szCs w:val="20"/>
              </w:rPr>
              <w:t xml:space="preserve">0.0–0.2</w:t>
            </w:r>
          </w:p>
        </w:tc>
        <w:tc>
          <w:tcPr>
            <w:tcW w:type="dxa" w:w="2100"/>
            <w:shd w:fill="E8EDF5" w:color="auto" w:val="clear"/>
            <w:tcMar>
              <w:top w:type="dxa" w:w="60"/>
              <w:left w:type="dxa" w:w="90"/>
              <w:bottom w:type="dxa" w:w="60"/>
              <w:right w:type="dxa" w:w="90"/>
            </w:tcMar>
          </w:tcPr>
          <w:p>
            <w:pPr>
              <w:spacing w:after="0" w:line="258"/>
            </w:pPr>
            <w:r>
              <w:rPr>
                <w:b/>
                <w:bCs/>
                <w:color w:val="1A1A2E"/>
                <w:sz w:val="20"/>
                <w:szCs w:val="20"/>
              </w:rPr>
              <w:t xml:space="preserve">Directed</w:t>
            </w:r>
          </w:p>
        </w:tc>
        <w:tc>
          <w:tcPr>
            <w:tcW w:type="dxa" w:w="6480"/>
            <w:shd w:fill="E8EDF5" w:color="auto" w:val="clear"/>
            <w:tcMar>
              <w:top w:type="dxa" w:w="60"/>
              <w:left w:type="dxa" w:w="90"/>
              <w:bottom w:type="dxa" w:w="60"/>
              <w:right w:type="dxa" w:w="90"/>
            </w:tcMar>
          </w:tcPr>
          <w:p>
            <w:pPr>
              <w:spacing w:after="0" w:line="258"/>
            </w:pPr>
            <w:r>
              <w:rPr>
                <w:color w:val="1A1A2E"/>
                <w:sz w:val="20"/>
                <w:szCs w:val="20"/>
              </w:rPr>
              <w:t xml:space="preserve">Work is assigned and specified top-down. Most decisions need sign-off. Postings stress “follow established processes,” reviews cite micromanagement / rigid procedure.</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0.3–0.4</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directed</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Manager sets direction and priorities; individual chooses tactics inside clear guardrails. Some latitude, but the frame is given.</w:t>
            </w:r>
          </w:p>
        </w:tc>
      </w:tr>
      <w:tr>
        <w:tc>
          <w:tcPr>
            <w:tcW w:type="dxa" w:w="1500"/>
            <w:shd w:fill="F2F2F2" w:color="auto" w:val="clear"/>
            <w:tcMar>
              <w:top w:type="dxa" w:w="60"/>
              <w:left w:type="dxa" w:w="90"/>
              <w:bottom w:type="dxa" w:w="60"/>
              <w:right w:type="dxa" w:w="90"/>
            </w:tcMar>
          </w:tcPr>
          <w:p>
            <w:pPr>
              <w:spacing w:after="0" w:line="258"/>
              <w:jc w:val="center"/>
            </w:pPr>
            <w:r>
              <w:rPr>
                <w:b/>
                <w:bCs/>
                <w:color w:val="1A1A2E"/>
                <w:sz w:val="20"/>
                <w:szCs w:val="20"/>
              </w:rPr>
              <w:t xml:space="preserve">0.5</w:t>
            </w:r>
          </w:p>
        </w:tc>
        <w:tc>
          <w:tcPr>
            <w:tcW w:type="dxa" w:w="2100"/>
            <w:shd w:fill="F2F2F2" w:color="auto" w:val="clear"/>
            <w:tcMar>
              <w:top w:type="dxa" w:w="60"/>
              <w:left w:type="dxa" w:w="90"/>
              <w:bottom w:type="dxa" w:w="60"/>
              <w:right w:type="dxa" w:w="90"/>
            </w:tcMar>
          </w:tcPr>
          <w:p>
            <w:pPr>
              <w:spacing w:after="0" w:line="258"/>
            </w:pPr>
            <w:r>
              <w:rPr>
                <w:b/>
                <w:bCs/>
                <w:color w:val="1A1A2E"/>
                <w:sz w:val="20"/>
                <w:szCs w:val="20"/>
              </w:rPr>
              <w:t xml:space="preserve">Mixed</w:t>
            </w:r>
          </w:p>
        </w:tc>
        <w:tc>
          <w:tcPr>
            <w:tcW w:type="dxa" w:w="6480"/>
            <w:shd w:fill="F2F2F2" w:color="auto" w:val="clear"/>
            <w:tcMar>
              <w:top w:type="dxa" w:w="60"/>
              <w:left w:type="dxa" w:w="90"/>
              <w:bottom w:type="dxa" w:w="60"/>
              <w:right w:type="dxa" w:w="90"/>
            </w:tcMar>
          </w:tcPr>
          <w:p>
            <w:pPr>
              <w:spacing w:after="0" w:line="258"/>
            </w:pPr>
            <w:r>
              <w:rPr>
                <w:color w:val="1A1A2E"/>
                <w:sz w:val="20"/>
                <w:szCs w:val="20"/>
              </w:rPr>
              <w:t xml:space="preserve">Direction set at team level, individuals pick the how within it. No strong signal either way, or genuinely balanced.</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0.6–0.7</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self-directed</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ICs own outcomes and choose their approach with light approval. “Ownership,” results-over-process language present.</w:t>
            </w:r>
          </w:p>
        </w:tc>
      </w:tr>
      <w:tr>
        <w:tc>
          <w:tcPr>
            <w:tcW w:type="dxa" w:w="1500"/>
            <w:shd w:fill="F5ECE8" w:color="auto" w:val="clear"/>
            <w:tcMar>
              <w:top w:type="dxa" w:w="60"/>
              <w:left w:type="dxa" w:w="90"/>
              <w:bottom w:type="dxa" w:w="60"/>
              <w:right w:type="dxa" w:w="90"/>
            </w:tcMar>
          </w:tcPr>
          <w:p>
            <w:pPr>
              <w:spacing w:after="0" w:line="258"/>
              <w:jc w:val="center"/>
            </w:pPr>
            <w:r>
              <w:rPr>
                <w:b/>
                <w:bCs/>
                <w:color w:val="1A1A2E"/>
                <w:sz w:val="20"/>
                <w:szCs w:val="20"/>
              </w:rPr>
              <w:t xml:space="preserve">0.8–1.0</w:t>
            </w:r>
          </w:p>
        </w:tc>
        <w:tc>
          <w:tcPr>
            <w:tcW w:type="dxa" w:w="2100"/>
            <w:shd w:fill="F5ECE8" w:color="auto" w:val="clear"/>
            <w:tcMar>
              <w:top w:type="dxa" w:w="60"/>
              <w:left w:type="dxa" w:w="90"/>
              <w:bottom w:type="dxa" w:w="60"/>
              <w:right w:type="dxa" w:w="90"/>
            </w:tcMar>
          </w:tcPr>
          <w:p>
            <w:pPr>
              <w:spacing w:after="0" w:line="258"/>
            </w:pPr>
            <w:r>
              <w:rPr>
                <w:b/>
                <w:bCs/>
                <w:color w:val="1A1A2E"/>
                <w:sz w:val="20"/>
                <w:szCs w:val="20"/>
              </w:rPr>
              <w:t xml:space="preserve">Self-directed</w:t>
            </w:r>
          </w:p>
        </w:tc>
        <w:tc>
          <w:tcPr>
            <w:tcW w:type="dxa" w:w="6480"/>
            <w:shd w:fill="F5ECE8" w:color="auto" w:val="clear"/>
            <w:tcMar>
              <w:top w:type="dxa" w:w="60"/>
              <w:left w:type="dxa" w:w="90"/>
              <w:bottom w:type="dxa" w:w="60"/>
              <w:right w:type="dxa" w:w="90"/>
            </w:tcMar>
          </w:tcPr>
          <w:p>
            <w:pPr>
              <w:spacing w:after="0" w:line="258"/>
            </w:pPr>
            <w:r>
              <w:rPr>
                <w:color w:val="1A1A2E"/>
                <w:sz w:val="20"/>
                <w:szCs w:val="20"/>
              </w:rPr>
              <w:t xml:space="preserve">Individuals set their own priorities and methods with minimal approval. “Founder mentality,” high-trust, flat decision rights pervade the evidence.</w:t>
            </w:r>
          </w:p>
        </w:tc>
      </w:tr>
    </w:tbl>
    <w:p>
      <w:pPr>
        <w:pStyle w:val="Heading2"/>
        <w:spacing w:after="80" w:before="240"/>
      </w:pPr>
      <w:r>
        <w:rPr>
          <w:b/>
          <w:bCs/>
          <w:color w:val="2E4374"/>
          <w:sz w:val="25"/>
          <w:szCs w:val="25"/>
        </w:rPr>
        <w:t xml:space="preserve">Pace</w:t>
      </w:r>
      <w:r>
        <w:rPr>
          <w:b w:val="false"/>
          <w:bCs w:val="false"/>
          <w:color w:val="666666"/>
          <w:sz w:val="20"/>
          <w:szCs w:val="20"/>
        </w:rPr>
        <w:t xml:space="preserve">   Steady (0.0)  →  Fast (1.0)</w:t>
      </w:r>
    </w:p>
    <w:p>
      <w:pPr>
        <w:spacing w:after="60" w:line="276"/>
      </w:pPr>
      <w:r>
        <w:rPr>
          <w:b/>
          <w:bCs/>
          <w:sz w:val="20"/>
          <w:szCs w:val="20"/>
        </w:rPr>
        <w:t xml:space="preserve">Measures:  </w:t>
      </w:r>
      <w:r>
        <w:rPr>
          <w:sz w:val="20"/>
          <w:szCs w:val="20"/>
        </w:rPr>
        <w:t xml:space="preserve">The tempo and intensity of work — deliberate, sustainable cadence vs. rapid, high-urgency, quick-turnaround.</w:t>
      </w:r>
    </w:p>
    <w:p>
      <w:pPr>
        <w:spacing w:after="60" w:line="276"/>
      </w:pPr>
      <w:r>
        <w:rPr>
          <w:b/>
          <w:bCs/>
          <w:sz w:val="20"/>
          <w:szCs w:val="20"/>
        </w:rPr>
        <w:t xml:space="preserve">Where to look:  </w:t>
      </w:r>
      <w:r>
        <w:rPr>
          <w:sz w:val="20"/>
          <w:szCs w:val="20"/>
        </w:rPr>
        <w:t xml:space="preserve">“Fast-paced” in postings, release/ship frequency, deadline and crunch culture, review mentions of hours/intensity/burnout vs. calm, growth stage, on-call expectations.</w:t>
      </w:r>
    </w:p>
    <w:p>
      <w:pPr>
        <w:spacing w:after="100" w:line="276"/>
      </w:pPr>
      <w:r>
        <w:rPr>
          <w:b/>
          <w:bCs/>
          <w:color w:val="8A5A00"/>
          <w:sz w:val="20"/>
          <w:szCs w:val="20"/>
        </w:rPr>
        <w:t xml:space="preserve">Keep distinct:  </w:t>
      </w:r>
      <w:r>
        <w:rPr>
          <w:i/>
          <w:iCs/>
          <w:color w:val="8A5A00"/>
          <w:sz w:val="20"/>
          <w:szCs w:val="20"/>
        </w:rPr>
        <w:t xml:space="preserve">Not the same as Innovation. A company can move fast while only optimizing (fast execution), or invent slowly (deliberate R&amp;D). Pace is tempo; Innovation is novelty.</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500"/>
        <w:gridCol w:w="2100"/>
        <w:gridCol w:w="6480"/>
      </w:tblGrid>
      <w:tr>
        <w:trPr>
          <w:tblHeader/>
        </w:trPr>
        <w:tc>
          <w:tcPr>
            <w:tcW w:type="dxa" w:w="1500"/>
            <w:shd w:fill="2E4374" w:color="auto" w:val="clear"/>
            <w:tcMar>
              <w:top w:type="dxa" w:w="60"/>
              <w:left w:type="dxa" w:w="90"/>
              <w:bottom w:type="dxa" w:w="60"/>
              <w:right w:type="dxa" w:w="90"/>
            </w:tcMar>
          </w:tcPr>
          <w:p>
            <w:pPr>
              <w:spacing w:after="0" w:line="258"/>
              <w:jc w:val="center"/>
            </w:pPr>
            <w:r>
              <w:rPr>
                <w:b/>
                <w:bCs/>
                <w:color w:val="FFFFFF"/>
                <w:sz w:val="19"/>
                <w:szCs w:val="19"/>
              </w:rPr>
              <w:t xml:space="preserve">Score band</w:t>
            </w:r>
          </w:p>
        </w:tc>
        <w:tc>
          <w:tcPr>
            <w:tcW w:type="dxa" w:w="21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480"/>
            <w:shd w:fill="2E4374" w:color="auto" w:val="clear"/>
            <w:tcMar>
              <w:top w:type="dxa" w:w="60"/>
              <w:left w:type="dxa" w:w="90"/>
              <w:bottom w:type="dxa" w:w="60"/>
              <w:right w:type="dxa" w:w="90"/>
            </w:tcMar>
          </w:tcPr>
          <w:p>
            <w:pPr>
              <w:spacing w:after="0" w:line="258"/>
            </w:pPr>
            <w:r>
              <w:rPr>
                <w:b/>
                <w:bCs/>
                <w:color w:val="FFFFFF"/>
                <w:sz w:val="19"/>
                <w:szCs w:val="19"/>
              </w:rPr>
              <w:t xml:space="preserve">What the evidence looks like</w:t>
            </w:r>
          </w:p>
        </w:tc>
      </w:tr>
      <w:tr>
        <w:tc>
          <w:tcPr>
            <w:tcW w:type="dxa" w:w="1500"/>
            <w:shd w:fill="E8EDF5" w:color="auto" w:val="clear"/>
            <w:tcMar>
              <w:top w:type="dxa" w:w="60"/>
              <w:left w:type="dxa" w:w="90"/>
              <w:bottom w:type="dxa" w:w="60"/>
              <w:right w:type="dxa" w:w="90"/>
            </w:tcMar>
          </w:tcPr>
          <w:p>
            <w:pPr>
              <w:spacing w:after="0" w:line="258"/>
              <w:jc w:val="center"/>
            </w:pPr>
            <w:r>
              <w:rPr>
                <w:b/>
                <w:bCs/>
                <w:color w:val="1A1A2E"/>
                <w:sz w:val="20"/>
                <w:szCs w:val="20"/>
              </w:rPr>
              <w:t xml:space="preserve">0.0–0.2</w:t>
            </w:r>
          </w:p>
        </w:tc>
        <w:tc>
          <w:tcPr>
            <w:tcW w:type="dxa" w:w="2100"/>
            <w:shd w:fill="E8EDF5" w:color="auto" w:val="clear"/>
            <w:tcMar>
              <w:top w:type="dxa" w:w="60"/>
              <w:left w:type="dxa" w:w="90"/>
              <w:bottom w:type="dxa" w:w="60"/>
              <w:right w:type="dxa" w:w="90"/>
            </w:tcMar>
          </w:tcPr>
          <w:p>
            <w:pPr>
              <w:spacing w:after="0" w:line="258"/>
            </w:pPr>
            <w:r>
              <w:rPr>
                <w:b/>
                <w:bCs/>
                <w:color w:val="1A1A2E"/>
                <w:sz w:val="20"/>
                <w:szCs w:val="20"/>
              </w:rPr>
              <w:t xml:space="preserve">Steady</w:t>
            </w:r>
          </w:p>
        </w:tc>
        <w:tc>
          <w:tcPr>
            <w:tcW w:type="dxa" w:w="6480"/>
            <w:shd w:fill="E8EDF5" w:color="auto" w:val="clear"/>
            <w:tcMar>
              <w:top w:type="dxa" w:w="60"/>
              <w:left w:type="dxa" w:w="90"/>
              <w:bottom w:type="dxa" w:w="60"/>
              <w:right w:type="dxa" w:w="90"/>
            </w:tcMar>
          </w:tcPr>
          <w:p>
            <w:pPr>
              <w:spacing w:after="0" w:line="258"/>
            </w:pPr>
            <w:r>
              <w:rPr>
                <w:color w:val="1A1A2E"/>
                <w:sz w:val="20"/>
                <w:szCs w:val="20"/>
              </w:rPr>
              <w:t xml:space="preserve">Deliberate cadence, long planning horizons, stability/quality emphasis. Reviews describe a calm, sustainable pace.</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0.3–0.4</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steady</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Generally measured tempo with occasional pushes. Deadlines exist but rarely dominate.</w:t>
            </w:r>
          </w:p>
        </w:tc>
      </w:tr>
      <w:tr>
        <w:tc>
          <w:tcPr>
            <w:tcW w:type="dxa" w:w="1500"/>
            <w:shd w:fill="F2F2F2" w:color="auto" w:val="clear"/>
            <w:tcMar>
              <w:top w:type="dxa" w:w="60"/>
              <w:left w:type="dxa" w:w="90"/>
              <w:bottom w:type="dxa" w:w="60"/>
              <w:right w:type="dxa" w:w="90"/>
            </w:tcMar>
          </w:tcPr>
          <w:p>
            <w:pPr>
              <w:spacing w:after="0" w:line="258"/>
              <w:jc w:val="center"/>
            </w:pPr>
            <w:r>
              <w:rPr>
                <w:b/>
                <w:bCs/>
                <w:color w:val="1A1A2E"/>
                <w:sz w:val="20"/>
                <w:szCs w:val="20"/>
              </w:rPr>
              <w:t xml:space="preserve">0.5</w:t>
            </w:r>
          </w:p>
        </w:tc>
        <w:tc>
          <w:tcPr>
            <w:tcW w:type="dxa" w:w="2100"/>
            <w:shd w:fill="F2F2F2" w:color="auto" w:val="clear"/>
            <w:tcMar>
              <w:top w:type="dxa" w:w="60"/>
              <w:left w:type="dxa" w:w="90"/>
              <w:bottom w:type="dxa" w:w="60"/>
              <w:right w:type="dxa" w:w="90"/>
            </w:tcMar>
          </w:tcPr>
          <w:p>
            <w:pPr>
              <w:spacing w:after="0" w:line="258"/>
            </w:pPr>
            <w:r>
              <w:rPr>
                <w:b/>
                <w:bCs/>
                <w:color w:val="1A1A2E"/>
                <w:sz w:val="20"/>
                <w:szCs w:val="20"/>
              </w:rPr>
              <w:t xml:space="preserve">Mixed</w:t>
            </w:r>
          </w:p>
        </w:tc>
        <w:tc>
          <w:tcPr>
            <w:tcW w:type="dxa" w:w="6480"/>
            <w:shd w:fill="F2F2F2" w:color="auto" w:val="clear"/>
            <w:tcMar>
              <w:top w:type="dxa" w:w="60"/>
              <w:left w:type="dxa" w:w="90"/>
              <w:bottom w:type="dxa" w:w="60"/>
              <w:right w:type="dxa" w:w="90"/>
            </w:tcMar>
          </w:tcPr>
          <w:p>
            <w:pPr>
              <w:spacing w:after="0" w:line="258"/>
            </w:pPr>
            <w:r>
              <w:rPr>
                <w:color w:val="1A1A2E"/>
                <w:sz w:val="20"/>
                <w:szCs w:val="20"/>
              </w:rPr>
              <w:t xml:space="preserve">Ordinary business tempo — some crunch, some calm. No dominant signal.</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0.6–0.7</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fast</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Regular urgency, frequent releases, tight-ish timelines. Energy is up but not relentless.</w:t>
            </w:r>
          </w:p>
        </w:tc>
      </w:tr>
      <w:tr>
        <w:tc>
          <w:tcPr>
            <w:tcW w:type="dxa" w:w="1500"/>
            <w:shd w:fill="F5ECE8" w:color="auto" w:val="clear"/>
            <w:tcMar>
              <w:top w:type="dxa" w:w="60"/>
              <w:left w:type="dxa" w:w="90"/>
              <w:bottom w:type="dxa" w:w="60"/>
              <w:right w:type="dxa" w:w="90"/>
            </w:tcMar>
          </w:tcPr>
          <w:p>
            <w:pPr>
              <w:spacing w:after="0" w:line="258"/>
              <w:jc w:val="center"/>
            </w:pPr>
            <w:r>
              <w:rPr>
                <w:b/>
                <w:bCs/>
                <w:color w:val="1A1A2E"/>
                <w:sz w:val="20"/>
                <w:szCs w:val="20"/>
              </w:rPr>
              <w:t xml:space="preserve">0.8–1.0</w:t>
            </w:r>
          </w:p>
        </w:tc>
        <w:tc>
          <w:tcPr>
            <w:tcW w:type="dxa" w:w="2100"/>
            <w:shd w:fill="F5ECE8" w:color="auto" w:val="clear"/>
            <w:tcMar>
              <w:top w:type="dxa" w:w="60"/>
              <w:left w:type="dxa" w:w="90"/>
              <w:bottom w:type="dxa" w:w="60"/>
              <w:right w:type="dxa" w:w="90"/>
            </w:tcMar>
          </w:tcPr>
          <w:p>
            <w:pPr>
              <w:spacing w:after="0" w:line="258"/>
            </w:pPr>
            <w:r>
              <w:rPr>
                <w:b/>
                <w:bCs/>
                <w:color w:val="1A1A2E"/>
                <w:sz w:val="20"/>
                <w:szCs w:val="20"/>
              </w:rPr>
              <w:t xml:space="preserve">Fast</w:t>
            </w:r>
          </w:p>
        </w:tc>
        <w:tc>
          <w:tcPr>
            <w:tcW w:type="dxa" w:w="6480"/>
            <w:shd w:fill="F5ECE8" w:color="auto" w:val="clear"/>
            <w:tcMar>
              <w:top w:type="dxa" w:w="60"/>
              <w:left w:type="dxa" w:w="90"/>
              <w:bottom w:type="dxa" w:w="60"/>
              <w:right w:type="dxa" w:w="90"/>
            </w:tcMar>
          </w:tcPr>
          <w:p>
            <w:pPr>
              <w:spacing w:after="0" w:line="258"/>
            </w:pPr>
            <w:r>
              <w:rPr>
                <w:color w:val="1A1A2E"/>
                <w:sz w:val="20"/>
                <w:szCs w:val="20"/>
              </w:rPr>
              <w:t xml:space="preserve">“Move fast,” rapid iteration, aggressive deadlines. Reviews cite long hours / intensity / hypergrowth.</w:t>
            </w:r>
          </w:p>
        </w:tc>
      </w:tr>
    </w:tbl>
    <w:p>
      <w:pPr>
        <w:pStyle w:val="Heading2"/>
        <w:spacing w:after="80" w:before="240"/>
      </w:pPr>
      <w:r>
        <w:rPr>
          <w:b/>
          <w:bCs/>
          <w:color w:val="2E4374"/>
          <w:sz w:val="25"/>
          <w:szCs w:val="25"/>
        </w:rPr>
        <w:t xml:space="preserve">Collaboration</w:t>
      </w:r>
      <w:r>
        <w:rPr>
          <w:b w:val="false"/>
          <w:bCs w:val="false"/>
          <w:color w:val="666666"/>
          <w:sz w:val="20"/>
          <w:szCs w:val="20"/>
        </w:rPr>
        <w:t xml:space="preserve">   Solo (0.0)  →  Collective (1.0)</w:t>
      </w:r>
    </w:p>
    <w:p>
      <w:pPr>
        <w:spacing w:after="60" w:line="276"/>
      </w:pPr>
      <w:r>
        <w:rPr>
          <w:b/>
          <w:bCs/>
          <w:sz w:val="20"/>
          <w:szCs w:val="20"/>
        </w:rPr>
        <w:t xml:space="preserve">Measures:  </w:t>
      </w:r>
      <w:r>
        <w:rPr>
          <w:sz w:val="20"/>
          <w:szCs w:val="20"/>
        </w:rPr>
        <w:t xml:space="preserve">How work actually gets produced — individual, heads-down ownership vs. group, cross-functional, in-the-room problem-solving.</w:t>
      </w:r>
    </w:p>
    <w:p>
      <w:pPr>
        <w:spacing w:after="60" w:line="276"/>
      </w:pPr>
      <w:r>
        <w:rPr>
          <w:b/>
          <w:bCs/>
          <w:sz w:val="20"/>
          <w:szCs w:val="20"/>
        </w:rPr>
        <w:t xml:space="preserve">Where to look:  </w:t>
      </w:r>
      <w:r>
        <w:rPr>
          <w:sz w:val="20"/>
          <w:szCs w:val="20"/>
        </w:rPr>
        <w:t xml:space="preserve">Team structure (pods/squads vs. individual owners), meeting and pairing/mob culture, open-plan vs. deep-work norms, “we win together” vs. “own your area” language, async-individual vs. sync-group.</w:t>
      </w:r>
    </w:p>
    <w:p>
      <w:pPr>
        <w:spacing w:after="100" w:line="276"/>
      </w:pPr>
      <w:r>
        <w:rPr>
          <w:b/>
          <w:bCs/>
          <w:color w:val="8A5A00"/>
          <w:sz w:val="20"/>
          <w:szCs w:val="20"/>
        </w:rPr>
        <w:t xml:space="preserve">Keep distinct:  </w:t>
      </w:r>
      <w:r>
        <w:rPr>
          <w:i/>
          <w:iCs/>
          <w:color w:val="8A5A00"/>
          <w:sz w:val="20"/>
          <w:szCs w:val="20"/>
        </w:rPr>
        <w:t xml:space="preserve">Not the same as Autonomy. Collective teams can still hand individuals full ownership of the how. Score meeting/team density here, decision rights under Autonomy.</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500"/>
        <w:gridCol w:w="2100"/>
        <w:gridCol w:w="6480"/>
      </w:tblGrid>
      <w:tr>
        <w:trPr>
          <w:tblHeader/>
        </w:trPr>
        <w:tc>
          <w:tcPr>
            <w:tcW w:type="dxa" w:w="1500"/>
            <w:shd w:fill="2E4374" w:color="auto" w:val="clear"/>
            <w:tcMar>
              <w:top w:type="dxa" w:w="60"/>
              <w:left w:type="dxa" w:w="90"/>
              <w:bottom w:type="dxa" w:w="60"/>
              <w:right w:type="dxa" w:w="90"/>
            </w:tcMar>
          </w:tcPr>
          <w:p>
            <w:pPr>
              <w:spacing w:after="0" w:line="258"/>
              <w:jc w:val="center"/>
            </w:pPr>
            <w:r>
              <w:rPr>
                <w:b/>
                <w:bCs/>
                <w:color w:val="FFFFFF"/>
                <w:sz w:val="19"/>
                <w:szCs w:val="19"/>
              </w:rPr>
              <w:t xml:space="preserve">Score band</w:t>
            </w:r>
          </w:p>
        </w:tc>
        <w:tc>
          <w:tcPr>
            <w:tcW w:type="dxa" w:w="21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480"/>
            <w:shd w:fill="2E4374" w:color="auto" w:val="clear"/>
            <w:tcMar>
              <w:top w:type="dxa" w:w="60"/>
              <w:left w:type="dxa" w:w="90"/>
              <w:bottom w:type="dxa" w:w="60"/>
              <w:right w:type="dxa" w:w="90"/>
            </w:tcMar>
          </w:tcPr>
          <w:p>
            <w:pPr>
              <w:spacing w:after="0" w:line="258"/>
            </w:pPr>
            <w:r>
              <w:rPr>
                <w:b/>
                <w:bCs/>
                <w:color w:val="FFFFFF"/>
                <w:sz w:val="19"/>
                <w:szCs w:val="19"/>
              </w:rPr>
              <w:t xml:space="preserve">What the evidence looks like</w:t>
            </w:r>
          </w:p>
        </w:tc>
      </w:tr>
      <w:tr>
        <w:tc>
          <w:tcPr>
            <w:tcW w:type="dxa" w:w="1500"/>
            <w:shd w:fill="E8EDF5" w:color="auto" w:val="clear"/>
            <w:tcMar>
              <w:top w:type="dxa" w:w="60"/>
              <w:left w:type="dxa" w:w="90"/>
              <w:bottom w:type="dxa" w:w="60"/>
              <w:right w:type="dxa" w:w="90"/>
            </w:tcMar>
          </w:tcPr>
          <w:p>
            <w:pPr>
              <w:spacing w:after="0" w:line="258"/>
              <w:jc w:val="center"/>
            </w:pPr>
            <w:r>
              <w:rPr>
                <w:b/>
                <w:bCs/>
                <w:color w:val="1A1A2E"/>
                <w:sz w:val="20"/>
                <w:szCs w:val="20"/>
              </w:rPr>
              <w:t xml:space="preserve">0.0–0.2</w:t>
            </w:r>
          </w:p>
        </w:tc>
        <w:tc>
          <w:tcPr>
            <w:tcW w:type="dxa" w:w="2100"/>
            <w:shd w:fill="E8EDF5" w:color="auto" w:val="clear"/>
            <w:tcMar>
              <w:top w:type="dxa" w:w="60"/>
              <w:left w:type="dxa" w:w="90"/>
              <w:bottom w:type="dxa" w:w="60"/>
              <w:right w:type="dxa" w:w="90"/>
            </w:tcMar>
          </w:tcPr>
          <w:p>
            <w:pPr>
              <w:spacing w:after="0" w:line="258"/>
            </w:pPr>
            <w:r>
              <w:rPr>
                <w:b/>
                <w:bCs/>
                <w:color w:val="1A1A2E"/>
                <w:sz w:val="20"/>
                <w:szCs w:val="20"/>
              </w:rPr>
              <w:t xml:space="preserve">Solo</w:t>
            </w:r>
          </w:p>
        </w:tc>
        <w:tc>
          <w:tcPr>
            <w:tcW w:type="dxa" w:w="6480"/>
            <w:shd w:fill="E8EDF5" w:color="auto" w:val="clear"/>
            <w:tcMar>
              <w:top w:type="dxa" w:w="60"/>
              <w:left w:type="dxa" w:w="90"/>
              <w:bottom w:type="dxa" w:w="60"/>
              <w:right w:type="dxa" w:w="90"/>
            </w:tcMar>
          </w:tcPr>
          <w:p>
            <w:pPr>
              <w:spacing w:after="0" w:line="258"/>
            </w:pPr>
            <w:r>
              <w:rPr>
                <w:color w:val="1A1A2E"/>
                <w:sz w:val="20"/>
                <w:szCs w:val="20"/>
              </w:rPr>
              <w:t xml:space="preserve">Individual ownership, heads-down norm, low meeting load. Autonomy of work product; async / individual contribution valued.</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0.3–0.4</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solo</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Mostly individual work with periodic syncs. Collaboration is coordination, not co-production.</w:t>
            </w:r>
          </w:p>
        </w:tc>
      </w:tr>
      <w:tr>
        <w:tc>
          <w:tcPr>
            <w:tcW w:type="dxa" w:w="1500"/>
            <w:shd w:fill="F2F2F2" w:color="auto" w:val="clear"/>
            <w:tcMar>
              <w:top w:type="dxa" w:w="60"/>
              <w:left w:type="dxa" w:w="90"/>
              <w:bottom w:type="dxa" w:w="60"/>
              <w:right w:type="dxa" w:w="90"/>
            </w:tcMar>
          </w:tcPr>
          <w:p>
            <w:pPr>
              <w:spacing w:after="0" w:line="258"/>
              <w:jc w:val="center"/>
            </w:pPr>
            <w:r>
              <w:rPr>
                <w:b/>
                <w:bCs/>
                <w:color w:val="1A1A2E"/>
                <w:sz w:val="20"/>
                <w:szCs w:val="20"/>
              </w:rPr>
              <w:t xml:space="preserve">0.5</w:t>
            </w:r>
          </w:p>
        </w:tc>
        <w:tc>
          <w:tcPr>
            <w:tcW w:type="dxa" w:w="2100"/>
            <w:shd w:fill="F2F2F2" w:color="auto" w:val="clear"/>
            <w:tcMar>
              <w:top w:type="dxa" w:w="60"/>
              <w:left w:type="dxa" w:w="90"/>
              <w:bottom w:type="dxa" w:w="60"/>
              <w:right w:type="dxa" w:w="90"/>
            </w:tcMar>
          </w:tcPr>
          <w:p>
            <w:pPr>
              <w:spacing w:after="0" w:line="258"/>
            </w:pPr>
            <w:r>
              <w:rPr>
                <w:b/>
                <w:bCs/>
                <w:color w:val="1A1A2E"/>
                <w:sz w:val="20"/>
                <w:szCs w:val="20"/>
              </w:rPr>
              <w:t xml:space="preserve">Mixed</w:t>
            </w:r>
          </w:p>
        </w:tc>
        <w:tc>
          <w:tcPr>
            <w:tcW w:type="dxa" w:w="6480"/>
            <w:shd w:fill="F2F2F2" w:color="auto" w:val="clear"/>
            <w:tcMar>
              <w:top w:type="dxa" w:w="60"/>
              <w:left w:type="dxa" w:w="90"/>
              <w:bottom w:type="dxa" w:w="60"/>
              <w:right w:type="dxa" w:w="90"/>
            </w:tcMar>
          </w:tcPr>
          <w:p>
            <w:pPr>
              <w:spacing w:after="0" w:line="258"/>
            </w:pPr>
            <w:r>
              <w:rPr>
                <w:color w:val="1A1A2E"/>
                <w:sz w:val="20"/>
                <w:szCs w:val="20"/>
              </w:rPr>
              <w:t xml:space="preserve">Balanced individual and group work; no dominant mode.</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0.6–0.7</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collective</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Cross-functional teamwork common, meetings frequent, decisions shared.</w:t>
            </w:r>
          </w:p>
        </w:tc>
      </w:tr>
      <w:tr>
        <w:tc>
          <w:tcPr>
            <w:tcW w:type="dxa" w:w="1500"/>
            <w:shd w:fill="F5ECE8" w:color="auto" w:val="clear"/>
            <w:tcMar>
              <w:top w:type="dxa" w:w="60"/>
              <w:left w:type="dxa" w:w="90"/>
              <w:bottom w:type="dxa" w:w="60"/>
              <w:right w:type="dxa" w:w="90"/>
            </w:tcMar>
          </w:tcPr>
          <w:p>
            <w:pPr>
              <w:spacing w:after="0" w:line="258"/>
              <w:jc w:val="center"/>
            </w:pPr>
            <w:r>
              <w:rPr>
                <w:b/>
                <w:bCs/>
                <w:color w:val="1A1A2E"/>
                <w:sz w:val="20"/>
                <w:szCs w:val="20"/>
              </w:rPr>
              <w:t xml:space="preserve">0.8–1.0</w:t>
            </w:r>
          </w:p>
        </w:tc>
        <w:tc>
          <w:tcPr>
            <w:tcW w:type="dxa" w:w="2100"/>
            <w:shd w:fill="F5ECE8" w:color="auto" w:val="clear"/>
            <w:tcMar>
              <w:top w:type="dxa" w:w="60"/>
              <w:left w:type="dxa" w:w="90"/>
              <w:bottom w:type="dxa" w:w="60"/>
              <w:right w:type="dxa" w:w="90"/>
            </w:tcMar>
          </w:tcPr>
          <w:p>
            <w:pPr>
              <w:spacing w:after="0" w:line="258"/>
            </w:pPr>
            <w:r>
              <w:rPr>
                <w:b/>
                <w:bCs/>
                <w:color w:val="1A1A2E"/>
                <w:sz w:val="20"/>
                <w:szCs w:val="20"/>
              </w:rPr>
              <w:t xml:space="preserve">Collective</w:t>
            </w:r>
          </w:p>
        </w:tc>
        <w:tc>
          <w:tcPr>
            <w:tcW w:type="dxa" w:w="6480"/>
            <w:shd w:fill="F5ECE8" w:color="auto" w:val="clear"/>
            <w:tcMar>
              <w:top w:type="dxa" w:w="60"/>
              <w:left w:type="dxa" w:w="90"/>
              <w:bottom w:type="dxa" w:w="60"/>
              <w:right w:type="dxa" w:w="90"/>
            </w:tcMar>
          </w:tcPr>
          <w:p>
            <w:pPr>
              <w:spacing w:after="0" w:line="258"/>
            </w:pPr>
            <w:r>
              <w:rPr>
                <w:color w:val="1A1A2E"/>
                <w:sz w:val="20"/>
                <w:szCs w:val="20"/>
              </w:rPr>
              <w:t xml:space="preserve">Heavy pairing/meeting/consensus culture, cross-functional pods, “we win together” throughout.</w:t>
            </w:r>
          </w:p>
        </w:tc>
      </w:tr>
    </w:tbl>
    <w:p>
      <w:pPr>
        <w:pStyle w:val="Heading2"/>
        <w:spacing w:after="80" w:before="240"/>
      </w:pPr>
      <w:r>
        <w:rPr>
          <w:b/>
          <w:bCs/>
          <w:color w:val="2E4374"/>
          <w:sz w:val="25"/>
          <w:szCs w:val="25"/>
        </w:rPr>
        <w:t xml:space="preserve">Feedback Culture</w:t>
      </w:r>
      <w:r>
        <w:rPr>
          <w:b w:val="false"/>
          <w:bCs w:val="false"/>
          <w:color w:val="666666"/>
          <w:sz w:val="20"/>
          <w:szCs w:val="20"/>
        </w:rPr>
        <w:t xml:space="preserve">   Sparse / gentle (0.0)  →  Frequent / blunt (1.0)</w:t>
      </w:r>
    </w:p>
    <w:p>
      <w:pPr>
        <w:spacing w:after="60" w:line="276"/>
      </w:pPr>
      <w:r>
        <w:rPr>
          <w:b/>
          <w:bCs/>
          <w:sz w:val="20"/>
          <w:szCs w:val="20"/>
        </w:rPr>
        <w:t xml:space="preserve">Measures:  </w:t>
      </w:r>
      <w:r>
        <w:rPr>
          <w:sz w:val="20"/>
          <w:szCs w:val="20"/>
        </w:rPr>
        <w:t xml:space="preserve">How performance feedback flows — occasional and softened vs. frequent, direct, and unfiltered.</w:t>
      </w:r>
    </w:p>
    <w:p>
      <w:pPr>
        <w:spacing w:after="60" w:line="276"/>
      </w:pPr>
      <w:r>
        <w:rPr>
          <w:b/>
          <w:bCs/>
          <w:sz w:val="20"/>
          <w:szCs w:val="20"/>
        </w:rPr>
        <w:t xml:space="preserve">Where to look:  </w:t>
      </w:r>
      <w:r>
        <w:rPr>
          <w:sz w:val="20"/>
          <w:szCs w:val="20"/>
        </w:rPr>
        <w:t xml:space="preserve">“Radical candor” / “direct communication” in values, review-cycle frequency, mentions of blunt vs. supportive delivery, debate/critique norms, conflict-avoidant vs. conflict-embracing signals.</w:t>
      </w:r>
    </w:p>
    <w:p>
      <w:pPr>
        <w:spacing w:after="100" w:line="276"/>
      </w:pPr>
      <w:r>
        <w:rPr>
          <w:b/>
          <w:bCs/>
          <w:color w:val="8A5A00"/>
          <w:sz w:val="20"/>
          <w:szCs w:val="20"/>
        </w:rPr>
        <w:t xml:space="preserve">Keep distinct:  </w:t>
      </w:r>
      <w:r>
        <w:rPr>
          <w:i/>
          <w:iCs/>
          <w:color w:val="8A5A00"/>
          <w:sz w:val="20"/>
          <w:szCs w:val="20"/>
        </w:rPr>
        <w:t xml:space="preserve">Score the delivery style and frequency of critique, not whether feedback is “nice.” Both poles are legitimate cultures, not good/bad.</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500"/>
        <w:gridCol w:w="2100"/>
        <w:gridCol w:w="6480"/>
      </w:tblGrid>
      <w:tr>
        <w:trPr>
          <w:tblHeader/>
        </w:trPr>
        <w:tc>
          <w:tcPr>
            <w:tcW w:type="dxa" w:w="1500"/>
            <w:shd w:fill="2E4374" w:color="auto" w:val="clear"/>
            <w:tcMar>
              <w:top w:type="dxa" w:w="60"/>
              <w:left w:type="dxa" w:w="90"/>
              <w:bottom w:type="dxa" w:w="60"/>
              <w:right w:type="dxa" w:w="90"/>
            </w:tcMar>
          </w:tcPr>
          <w:p>
            <w:pPr>
              <w:spacing w:after="0" w:line="258"/>
              <w:jc w:val="center"/>
            </w:pPr>
            <w:r>
              <w:rPr>
                <w:b/>
                <w:bCs/>
                <w:color w:val="FFFFFF"/>
                <w:sz w:val="19"/>
                <w:szCs w:val="19"/>
              </w:rPr>
              <w:t xml:space="preserve">Score band</w:t>
            </w:r>
          </w:p>
        </w:tc>
        <w:tc>
          <w:tcPr>
            <w:tcW w:type="dxa" w:w="21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480"/>
            <w:shd w:fill="2E4374" w:color="auto" w:val="clear"/>
            <w:tcMar>
              <w:top w:type="dxa" w:w="60"/>
              <w:left w:type="dxa" w:w="90"/>
              <w:bottom w:type="dxa" w:w="60"/>
              <w:right w:type="dxa" w:w="90"/>
            </w:tcMar>
          </w:tcPr>
          <w:p>
            <w:pPr>
              <w:spacing w:after="0" w:line="258"/>
            </w:pPr>
            <w:r>
              <w:rPr>
                <w:b/>
                <w:bCs/>
                <w:color w:val="FFFFFF"/>
                <w:sz w:val="19"/>
                <w:szCs w:val="19"/>
              </w:rPr>
              <w:t xml:space="preserve">What the evidence looks like</w:t>
            </w:r>
          </w:p>
        </w:tc>
      </w:tr>
      <w:tr>
        <w:tc>
          <w:tcPr>
            <w:tcW w:type="dxa" w:w="1500"/>
            <w:shd w:fill="E8EDF5" w:color="auto" w:val="clear"/>
            <w:tcMar>
              <w:top w:type="dxa" w:w="60"/>
              <w:left w:type="dxa" w:w="90"/>
              <w:bottom w:type="dxa" w:w="60"/>
              <w:right w:type="dxa" w:w="90"/>
            </w:tcMar>
          </w:tcPr>
          <w:p>
            <w:pPr>
              <w:spacing w:after="0" w:line="258"/>
              <w:jc w:val="center"/>
            </w:pPr>
            <w:r>
              <w:rPr>
                <w:b/>
                <w:bCs/>
                <w:color w:val="1A1A2E"/>
                <w:sz w:val="20"/>
                <w:szCs w:val="20"/>
              </w:rPr>
              <w:t xml:space="preserve">0.0–0.2</w:t>
            </w:r>
          </w:p>
        </w:tc>
        <w:tc>
          <w:tcPr>
            <w:tcW w:type="dxa" w:w="2100"/>
            <w:shd w:fill="E8EDF5" w:color="auto" w:val="clear"/>
            <w:tcMar>
              <w:top w:type="dxa" w:w="60"/>
              <w:left w:type="dxa" w:w="90"/>
              <w:bottom w:type="dxa" w:w="60"/>
              <w:right w:type="dxa" w:w="90"/>
            </w:tcMar>
          </w:tcPr>
          <w:p>
            <w:pPr>
              <w:spacing w:after="0" w:line="258"/>
            </w:pPr>
            <w:r>
              <w:rPr>
                <w:b/>
                <w:bCs/>
                <w:color w:val="1A1A2E"/>
                <w:sz w:val="20"/>
                <w:szCs w:val="20"/>
              </w:rPr>
              <w:t xml:space="preserve">Sparse / gentle</w:t>
            </w:r>
          </w:p>
        </w:tc>
        <w:tc>
          <w:tcPr>
            <w:tcW w:type="dxa" w:w="6480"/>
            <w:shd w:fill="E8EDF5" w:color="auto" w:val="clear"/>
            <w:tcMar>
              <w:top w:type="dxa" w:w="60"/>
              <w:left w:type="dxa" w:w="90"/>
              <w:bottom w:type="dxa" w:w="60"/>
              <w:right w:type="dxa" w:w="90"/>
            </w:tcMar>
          </w:tcPr>
          <w:p>
            <w:pPr>
              <w:spacing w:after="0" w:line="258"/>
            </w:pPr>
            <w:r>
              <w:rPr>
                <w:color w:val="1A1A2E"/>
                <w:sz w:val="20"/>
                <w:szCs w:val="20"/>
              </w:rPr>
              <w:t xml:space="preserve">Feedback is occasional and softened. Harmony valued; conflict avoided; “supportive / nurturing” framing.</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0.3–0.4</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gentle</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Feedback mostly on cycles, delivered with care. Directness is the exception.</w:t>
            </w:r>
          </w:p>
        </w:tc>
      </w:tr>
      <w:tr>
        <w:tc>
          <w:tcPr>
            <w:tcW w:type="dxa" w:w="1500"/>
            <w:shd w:fill="F2F2F2" w:color="auto" w:val="clear"/>
            <w:tcMar>
              <w:top w:type="dxa" w:w="60"/>
              <w:left w:type="dxa" w:w="90"/>
              <w:bottom w:type="dxa" w:w="60"/>
              <w:right w:type="dxa" w:w="90"/>
            </w:tcMar>
          </w:tcPr>
          <w:p>
            <w:pPr>
              <w:spacing w:after="0" w:line="258"/>
              <w:jc w:val="center"/>
            </w:pPr>
            <w:r>
              <w:rPr>
                <w:b/>
                <w:bCs/>
                <w:color w:val="1A1A2E"/>
                <w:sz w:val="20"/>
                <w:szCs w:val="20"/>
              </w:rPr>
              <w:t xml:space="preserve">0.5</w:t>
            </w:r>
          </w:p>
        </w:tc>
        <w:tc>
          <w:tcPr>
            <w:tcW w:type="dxa" w:w="2100"/>
            <w:shd w:fill="F2F2F2" w:color="auto" w:val="clear"/>
            <w:tcMar>
              <w:top w:type="dxa" w:w="60"/>
              <w:left w:type="dxa" w:w="90"/>
              <w:bottom w:type="dxa" w:w="60"/>
              <w:right w:type="dxa" w:w="90"/>
            </w:tcMar>
          </w:tcPr>
          <w:p>
            <w:pPr>
              <w:spacing w:after="0" w:line="258"/>
            </w:pPr>
            <w:r>
              <w:rPr>
                <w:b/>
                <w:bCs/>
                <w:color w:val="1A1A2E"/>
                <w:sz w:val="20"/>
                <w:szCs w:val="20"/>
              </w:rPr>
              <w:t xml:space="preserve">Mixed</w:t>
            </w:r>
          </w:p>
        </w:tc>
        <w:tc>
          <w:tcPr>
            <w:tcW w:type="dxa" w:w="6480"/>
            <w:shd w:fill="F2F2F2" w:color="auto" w:val="clear"/>
            <w:tcMar>
              <w:top w:type="dxa" w:w="60"/>
              <w:left w:type="dxa" w:w="90"/>
              <w:bottom w:type="dxa" w:w="60"/>
              <w:right w:type="dxa" w:w="90"/>
            </w:tcMar>
          </w:tcPr>
          <w:p>
            <w:pPr>
              <w:spacing w:after="0" w:line="258"/>
            </w:pPr>
            <w:r>
              <w:rPr>
                <w:color w:val="1A1A2E"/>
                <w:sz w:val="20"/>
                <w:szCs w:val="20"/>
              </w:rPr>
              <w:t xml:space="preserve">Normal mix of scheduled and ad-hoc feedback, moderate directness.</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0.6–0.7</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blunt</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Frequent, fairly direct feedback; debate is normal; thicker skin helps.</w:t>
            </w:r>
          </w:p>
        </w:tc>
      </w:tr>
      <w:tr>
        <w:tc>
          <w:tcPr>
            <w:tcW w:type="dxa" w:w="1500"/>
            <w:shd w:fill="F5ECE8" w:color="auto" w:val="clear"/>
            <w:tcMar>
              <w:top w:type="dxa" w:w="60"/>
              <w:left w:type="dxa" w:w="90"/>
              <w:bottom w:type="dxa" w:w="60"/>
              <w:right w:type="dxa" w:w="90"/>
            </w:tcMar>
          </w:tcPr>
          <w:p>
            <w:pPr>
              <w:spacing w:after="0" w:line="258"/>
              <w:jc w:val="center"/>
            </w:pPr>
            <w:r>
              <w:rPr>
                <w:b/>
                <w:bCs/>
                <w:color w:val="1A1A2E"/>
                <w:sz w:val="20"/>
                <w:szCs w:val="20"/>
              </w:rPr>
              <w:t xml:space="preserve">0.8–1.0</w:t>
            </w:r>
          </w:p>
        </w:tc>
        <w:tc>
          <w:tcPr>
            <w:tcW w:type="dxa" w:w="2100"/>
            <w:shd w:fill="F5ECE8" w:color="auto" w:val="clear"/>
            <w:tcMar>
              <w:top w:type="dxa" w:w="60"/>
              <w:left w:type="dxa" w:w="90"/>
              <w:bottom w:type="dxa" w:w="60"/>
              <w:right w:type="dxa" w:w="90"/>
            </w:tcMar>
          </w:tcPr>
          <w:p>
            <w:pPr>
              <w:spacing w:after="0" w:line="258"/>
            </w:pPr>
            <w:r>
              <w:rPr>
                <w:b/>
                <w:bCs/>
                <w:color w:val="1A1A2E"/>
                <w:sz w:val="20"/>
                <w:szCs w:val="20"/>
              </w:rPr>
              <w:t xml:space="preserve">Frequent / blunt</w:t>
            </w:r>
          </w:p>
        </w:tc>
        <w:tc>
          <w:tcPr>
            <w:tcW w:type="dxa" w:w="6480"/>
            <w:shd w:fill="F5ECE8" w:color="auto" w:val="clear"/>
            <w:tcMar>
              <w:top w:type="dxa" w:w="60"/>
              <w:left w:type="dxa" w:w="90"/>
              <w:bottom w:type="dxa" w:w="60"/>
              <w:right w:type="dxa" w:w="90"/>
            </w:tcMar>
          </w:tcPr>
          <w:p>
            <w:pPr>
              <w:spacing w:after="0" w:line="258"/>
            </w:pPr>
            <w:r>
              <w:rPr>
                <w:color w:val="1A1A2E"/>
                <w:sz w:val="20"/>
                <w:szCs w:val="20"/>
              </w:rPr>
              <w:t xml:space="preserve">Radical candor, constant unfiltered input, “we tell it straight,” critique/debate is the default.</w:t>
            </w:r>
          </w:p>
        </w:tc>
      </w:tr>
    </w:tbl>
    <w:p>
      <w:pPr>
        <w:pStyle w:val="Heading2"/>
        <w:spacing w:after="80" w:before="240"/>
      </w:pPr>
      <w:r>
        <w:rPr>
          <w:b/>
          <w:bCs/>
          <w:color w:val="2E4374"/>
          <w:sz w:val="25"/>
          <w:szCs w:val="25"/>
        </w:rPr>
        <w:t xml:space="preserve">Innovation Stance</w:t>
      </w:r>
      <w:r>
        <w:rPr>
          <w:b w:val="false"/>
          <w:bCs w:val="false"/>
          <w:color w:val="666666"/>
          <w:sz w:val="20"/>
          <w:szCs w:val="20"/>
        </w:rPr>
        <w:t xml:space="preserve">   Execute / optimize (0.0)  →  Invent / explore (1.0)</w:t>
      </w:r>
    </w:p>
    <w:p>
      <w:pPr>
        <w:spacing w:after="60" w:line="276"/>
      </w:pPr>
      <w:r>
        <w:rPr>
          <w:b/>
          <w:bCs/>
          <w:sz w:val="20"/>
          <w:szCs w:val="20"/>
        </w:rPr>
        <w:t xml:space="preserve">Measures:  </w:t>
      </w:r>
      <w:r>
        <w:rPr>
          <w:sz w:val="20"/>
          <w:szCs w:val="20"/>
        </w:rPr>
        <w:t xml:space="preserve">Where the work sits on the create-vs-refine axis — improving and scaling what exists vs. inventing what doesn’t exist yet.</w:t>
      </w:r>
    </w:p>
    <w:p>
      <w:pPr>
        <w:spacing w:after="60" w:line="276"/>
      </w:pPr>
      <w:r>
        <w:rPr>
          <w:b/>
          <w:bCs/>
          <w:sz w:val="20"/>
          <w:szCs w:val="20"/>
        </w:rPr>
        <w:t xml:space="preserve">Where to look:  </w:t>
      </w:r>
      <w:r>
        <w:rPr>
          <w:sz w:val="20"/>
          <w:szCs w:val="20"/>
        </w:rPr>
        <w:t xml:space="preserve">R&amp;D emphasis, “0-to-1” vs. “operational excellence” language, patents/research output, product maturity, tolerance for failed bets, “experiment” vs. “scale what works.”</w:t>
      </w:r>
    </w:p>
    <w:p>
      <w:pPr>
        <w:spacing w:after="100" w:line="276"/>
      </w:pPr>
      <w:r>
        <w:rPr>
          <w:b/>
          <w:bCs/>
          <w:color w:val="8A5A00"/>
          <w:sz w:val="20"/>
          <w:szCs w:val="20"/>
        </w:rPr>
        <w:t xml:space="preserve">Keep distinct:  </w:t>
      </w:r>
      <w:r>
        <w:rPr>
          <w:i/>
          <w:iCs/>
          <w:color w:val="8A5A00"/>
          <w:sz w:val="20"/>
          <w:szCs w:val="20"/>
        </w:rPr>
        <w:t xml:space="preserve">Not the same as Pace. Optimizing can be frantic; inventing can be slow. Score novelty of the work, not its speed.</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500"/>
        <w:gridCol w:w="2100"/>
        <w:gridCol w:w="6480"/>
      </w:tblGrid>
      <w:tr>
        <w:trPr>
          <w:tblHeader/>
        </w:trPr>
        <w:tc>
          <w:tcPr>
            <w:tcW w:type="dxa" w:w="1500"/>
            <w:shd w:fill="2E4374" w:color="auto" w:val="clear"/>
            <w:tcMar>
              <w:top w:type="dxa" w:w="60"/>
              <w:left w:type="dxa" w:w="90"/>
              <w:bottom w:type="dxa" w:w="60"/>
              <w:right w:type="dxa" w:w="90"/>
            </w:tcMar>
          </w:tcPr>
          <w:p>
            <w:pPr>
              <w:spacing w:after="0" w:line="258"/>
              <w:jc w:val="center"/>
            </w:pPr>
            <w:r>
              <w:rPr>
                <w:b/>
                <w:bCs/>
                <w:color w:val="FFFFFF"/>
                <w:sz w:val="19"/>
                <w:szCs w:val="19"/>
              </w:rPr>
              <w:t xml:space="preserve">Score band</w:t>
            </w:r>
          </w:p>
        </w:tc>
        <w:tc>
          <w:tcPr>
            <w:tcW w:type="dxa" w:w="21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480"/>
            <w:shd w:fill="2E4374" w:color="auto" w:val="clear"/>
            <w:tcMar>
              <w:top w:type="dxa" w:w="60"/>
              <w:left w:type="dxa" w:w="90"/>
              <w:bottom w:type="dxa" w:w="60"/>
              <w:right w:type="dxa" w:w="90"/>
            </w:tcMar>
          </w:tcPr>
          <w:p>
            <w:pPr>
              <w:spacing w:after="0" w:line="258"/>
            </w:pPr>
            <w:r>
              <w:rPr>
                <w:b/>
                <w:bCs/>
                <w:color w:val="FFFFFF"/>
                <w:sz w:val="19"/>
                <w:szCs w:val="19"/>
              </w:rPr>
              <w:t xml:space="preserve">What the evidence looks like</w:t>
            </w:r>
          </w:p>
        </w:tc>
      </w:tr>
      <w:tr>
        <w:tc>
          <w:tcPr>
            <w:tcW w:type="dxa" w:w="1500"/>
            <w:shd w:fill="E8EDF5" w:color="auto" w:val="clear"/>
            <w:tcMar>
              <w:top w:type="dxa" w:w="60"/>
              <w:left w:type="dxa" w:w="90"/>
              <w:bottom w:type="dxa" w:w="60"/>
              <w:right w:type="dxa" w:w="90"/>
            </w:tcMar>
          </w:tcPr>
          <w:p>
            <w:pPr>
              <w:spacing w:after="0" w:line="258"/>
              <w:jc w:val="center"/>
            </w:pPr>
            <w:r>
              <w:rPr>
                <w:b/>
                <w:bCs/>
                <w:color w:val="1A1A2E"/>
                <w:sz w:val="20"/>
                <w:szCs w:val="20"/>
              </w:rPr>
              <w:t xml:space="preserve">0.0–0.2</w:t>
            </w:r>
          </w:p>
        </w:tc>
        <w:tc>
          <w:tcPr>
            <w:tcW w:type="dxa" w:w="2100"/>
            <w:shd w:fill="E8EDF5" w:color="auto" w:val="clear"/>
            <w:tcMar>
              <w:top w:type="dxa" w:w="60"/>
              <w:left w:type="dxa" w:w="90"/>
              <w:bottom w:type="dxa" w:w="60"/>
              <w:right w:type="dxa" w:w="90"/>
            </w:tcMar>
          </w:tcPr>
          <w:p>
            <w:pPr>
              <w:spacing w:after="0" w:line="258"/>
            </w:pPr>
            <w:r>
              <w:rPr>
                <w:b/>
                <w:bCs/>
                <w:color w:val="1A1A2E"/>
                <w:sz w:val="20"/>
                <w:szCs w:val="20"/>
              </w:rPr>
              <w:t xml:space="preserve">Execute / optimize</w:t>
            </w:r>
          </w:p>
        </w:tc>
        <w:tc>
          <w:tcPr>
            <w:tcW w:type="dxa" w:w="6480"/>
            <w:shd w:fill="E8EDF5" w:color="auto" w:val="clear"/>
            <w:tcMar>
              <w:top w:type="dxa" w:w="60"/>
              <w:left w:type="dxa" w:w="90"/>
              <w:bottom w:type="dxa" w:w="60"/>
              <w:right w:type="dxa" w:w="90"/>
            </w:tcMar>
          </w:tcPr>
          <w:p>
            <w:pPr>
              <w:spacing w:after="0" w:line="258"/>
            </w:pPr>
            <w:r>
              <w:rPr>
                <w:color w:val="1A1A2E"/>
                <w:sz w:val="20"/>
                <w:szCs w:val="20"/>
              </w:rPr>
              <w:t xml:space="preserve">Operational excellence, refine and scale existing product, efficiency focus, mature offering.</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0.3–0.4</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optimize</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Mostly improving known things; occasional new bets at the edges.</w:t>
            </w:r>
          </w:p>
        </w:tc>
      </w:tr>
      <w:tr>
        <w:tc>
          <w:tcPr>
            <w:tcW w:type="dxa" w:w="1500"/>
            <w:shd w:fill="F2F2F2" w:color="auto" w:val="clear"/>
            <w:tcMar>
              <w:top w:type="dxa" w:w="60"/>
              <w:left w:type="dxa" w:w="90"/>
              <w:bottom w:type="dxa" w:w="60"/>
              <w:right w:type="dxa" w:w="90"/>
            </w:tcMar>
          </w:tcPr>
          <w:p>
            <w:pPr>
              <w:spacing w:after="0" w:line="258"/>
              <w:jc w:val="center"/>
            </w:pPr>
            <w:r>
              <w:rPr>
                <w:b/>
                <w:bCs/>
                <w:color w:val="1A1A2E"/>
                <w:sz w:val="20"/>
                <w:szCs w:val="20"/>
              </w:rPr>
              <w:t xml:space="preserve">0.5</w:t>
            </w:r>
          </w:p>
        </w:tc>
        <w:tc>
          <w:tcPr>
            <w:tcW w:type="dxa" w:w="2100"/>
            <w:shd w:fill="F2F2F2" w:color="auto" w:val="clear"/>
            <w:tcMar>
              <w:top w:type="dxa" w:w="60"/>
              <w:left w:type="dxa" w:w="90"/>
              <w:bottom w:type="dxa" w:w="60"/>
              <w:right w:type="dxa" w:w="90"/>
            </w:tcMar>
          </w:tcPr>
          <w:p>
            <w:pPr>
              <w:spacing w:after="0" w:line="258"/>
            </w:pPr>
            <w:r>
              <w:rPr>
                <w:b/>
                <w:bCs/>
                <w:color w:val="1A1A2E"/>
                <w:sz w:val="20"/>
                <w:szCs w:val="20"/>
              </w:rPr>
              <w:t xml:space="preserve">Mixed</w:t>
            </w:r>
          </w:p>
        </w:tc>
        <w:tc>
          <w:tcPr>
            <w:tcW w:type="dxa" w:w="6480"/>
            <w:shd w:fill="F2F2F2" w:color="auto" w:val="clear"/>
            <w:tcMar>
              <w:top w:type="dxa" w:w="60"/>
              <w:left w:type="dxa" w:w="90"/>
              <w:bottom w:type="dxa" w:w="60"/>
              <w:right w:type="dxa" w:w="90"/>
            </w:tcMar>
          </w:tcPr>
          <w:p>
            <w:pPr>
              <w:spacing w:after="0" w:line="258"/>
            </w:pPr>
            <w:r>
              <w:rPr>
                <w:color w:val="1A1A2E"/>
                <w:sz w:val="20"/>
                <w:szCs w:val="20"/>
              </w:rPr>
              <w:t xml:space="preserve">Real split between maintaining and creating; no dominant stance.</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0.6–0.7</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invent</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New-product / new-capability work is common; experimentation encouraged.</w:t>
            </w:r>
          </w:p>
        </w:tc>
      </w:tr>
      <w:tr>
        <w:tc>
          <w:tcPr>
            <w:tcW w:type="dxa" w:w="1500"/>
            <w:shd w:fill="F5ECE8" w:color="auto" w:val="clear"/>
            <w:tcMar>
              <w:top w:type="dxa" w:w="60"/>
              <w:left w:type="dxa" w:w="90"/>
              <w:bottom w:type="dxa" w:w="60"/>
              <w:right w:type="dxa" w:w="90"/>
            </w:tcMar>
          </w:tcPr>
          <w:p>
            <w:pPr>
              <w:spacing w:after="0" w:line="258"/>
              <w:jc w:val="center"/>
            </w:pPr>
            <w:r>
              <w:rPr>
                <w:b/>
                <w:bCs/>
                <w:color w:val="1A1A2E"/>
                <w:sz w:val="20"/>
                <w:szCs w:val="20"/>
              </w:rPr>
              <w:t xml:space="preserve">0.8–1.0</w:t>
            </w:r>
          </w:p>
        </w:tc>
        <w:tc>
          <w:tcPr>
            <w:tcW w:type="dxa" w:w="2100"/>
            <w:shd w:fill="F5ECE8" w:color="auto" w:val="clear"/>
            <w:tcMar>
              <w:top w:type="dxa" w:w="60"/>
              <w:left w:type="dxa" w:w="90"/>
              <w:bottom w:type="dxa" w:w="60"/>
              <w:right w:type="dxa" w:w="90"/>
            </w:tcMar>
          </w:tcPr>
          <w:p>
            <w:pPr>
              <w:spacing w:after="0" w:line="258"/>
            </w:pPr>
            <w:r>
              <w:rPr>
                <w:b/>
                <w:bCs/>
                <w:color w:val="1A1A2E"/>
                <w:sz w:val="20"/>
                <w:szCs w:val="20"/>
              </w:rPr>
              <w:t xml:space="preserve">Invent / explore</w:t>
            </w:r>
          </w:p>
        </w:tc>
        <w:tc>
          <w:tcPr>
            <w:tcW w:type="dxa" w:w="6480"/>
            <w:shd w:fill="F5ECE8" w:color="auto" w:val="clear"/>
            <w:tcMar>
              <w:top w:type="dxa" w:w="60"/>
              <w:left w:type="dxa" w:w="90"/>
              <w:bottom w:type="dxa" w:w="60"/>
              <w:right w:type="dxa" w:w="90"/>
            </w:tcMar>
          </w:tcPr>
          <w:p>
            <w:pPr>
              <w:spacing w:after="0" w:line="258"/>
            </w:pPr>
            <w:r>
              <w:rPr>
                <w:color w:val="1A1A2E"/>
                <w:sz w:val="20"/>
                <w:szCs w:val="20"/>
              </w:rPr>
              <w:t xml:space="preserve">R&amp;D-forward, novel products, “0-to-1,” research culture, explicit tolerance for failed experiments.</w:t>
            </w:r>
          </w:p>
        </w:tc>
      </w:tr>
    </w:tbl>
    <w:p>
      <w:pPr>
        <w:pStyle w:val="Heading2"/>
        <w:spacing w:after="80" w:before="240"/>
      </w:pPr>
      <w:r>
        <w:rPr>
          <w:b/>
          <w:bCs/>
          <w:color w:val="2E4374"/>
          <w:sz w:val="25"/>
          <w:szCs w:val="25"/>
        </w:rPr>
        <w:t xml:space="preserve">Decision Basis</w:t>
      </w:r>
      <w:r>
        <w:rPr>
          <w:b w:val="false"/>
          <w:bCs w:val="false"/>
          <w:color w:val="666666"/>
          <w:sz w:val="20"/>
          <w:szCs w:val="20"/>
        </w:rPr>
        <w:t xml:space="preserve">   Intuition / judgement (0.0)  →  Data / analysis (1.0)</w:t>
      </w:r>
    </w:p>
    <w:p>
      <w:pPr>
        <w:spacing w:after="60" w:line="276"/>
      </w:pPr>
      <w:r>
        <w:rPr>
          <w:b/>
          <w:bCs/>
          <w:sz w:val="20"/>
          <w:szCs w:val="20"/>
        </w:rPr>
        <w:t xml:space="preserve">Measures:  </w:t>
      </w:r>
      <w:r>
        <w:rPr>
          <w:sz w:val="20"/>
          <w:szCs w:val="20"/>
        </w:rPr>
        <w:t xml:space="preserve">What decisions actually rest on — experience, taste, and judgement vs. metrics, experiments, and analysis.</w:t>
      </w:r>
    </w:p>
    <w:p>
      <w:pPr>
        <w:spacing w:after="60" w:line="276"/>
      </w:pPr>
      <w:r>
        <w:rPr>
          <w:b/>
          <w:bCs/>
          <w:sz w:val="20"/>
          <w:szCs w:val="20"/>
        </w:rPr>
        <w:t xml:space="preserve">Where to look:  </w:t>
      </w:r>
      <w:r>
        <w:rPr>
          <w:sz w:val="20"/>
          <w:szCs w:val="20"/>
        </w:rPr>
        <w:t xml:space="preserve">“Data-driven” language, A/B-testing and analytics infrastructure, metrics-gated launches, dashboards, vs. founder-gut / design-led / “trust your judgement” signals.</w:t>
      </w:r>
    </w:p>
    <w:p>
      <w:pPr>
        <w:spacing w:after="100" w:line="276"/>
      </w:pPr>
      <w:r>
        <w:rPr>
          <w:b/>
          <w:bCs/>
          <w:color w:val="8A5A00"/>
          <w:sz w:val="20"/>
          <w:szCs w:val="20"/>
        </w:rPr>
        <w:t xml:space="preserve">Keep distinct:  </w:t>
      </w:r>
      <w:r>
        <w:rPr>
          <w:i/>
          <w:iCs/>
          <w:color w:val="8A5A00"/>
          <w:sz w:val="20"/>
          <w:szCs w:val="20"/>
        </w:rPr>
        <w:t xml:space="preserve">Score the basis of decisions, not their quality. A taste-led company is not “worse” than a data-led one; they select for different people.</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500"/>
        <w:gridCol w:w="2100"/>
        <w:gridCol w:w="6480"/>
      </w:tblGrid>
      <w:tr>
        <w:trPr>
          <w:tblHeader/>
        </w:trPr>
        <w:tc>
          <w:tcPr>
            <w:tcW w:type="dxa" w:w="1500"/>
            <w:shd w:fill="2E4374" w:color="auto" w:val="clear"/>
            <w:tcMar>
              <w:top w:type="dxa" w:w="60"/>
              <w:left w:type="dxa" w:w="90"/>
              <w:bottom w:type="dxa" w:w="60"/>
              <w:right w:type="dxa" w:w="90"/>
            </w:tcMar>
          </w:tcPr>
          <w:p>
            <w:pPr>
              <w:spacing w:after="0" w:line="258"/>
              <w:jc w:val="center"/>
            </w:pPr>
            <w:r>
              <w:rPr>
                <w:b/>
                <w:bCs/>
                <w:color w:val="FFFFFF"/>
                <w:sz w:val="19"/>
                <w:szCs w:val="19"/>
              </w:rPr>
              <w:t xml:space="preserve">Score band</w:t>
            </w:r>
          </w:p>
        </w:tc>
        <w:tc>
          <w:tcPr>
            <w:tcW w:type="dxa" w:w="21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480"/>
            <w:shd w:fill="2E4374" w:color="auto" w:val="clear"/>
            <w:tcMar>
              <w:top w:type="dxa" w:w="60"/>
              <w:left w:type="dxa" w:w="90"/>
              <w:bottom w:type="dxa" w:w="60"/>
              <w:right w:type="dxa" w:w="90"/>
            </w:tcMar>
          </w:tcPr>
          <w:p>
            <w:pPr>
              <w:spacing w:after="0" w:line="258"/>
            </w:pPr>
            <w:r>
              <w:rPr>
                <w:b/>
                <w:bCs/>
                <w:color w:val="FFFFFF"/>
                <w:sz w:val="19"/>
                <w:szCs w:val="19"/>
              </w:rPr>
              <w:t xml:space="preserve">What the evidence looks like</w:t>
            </w:r>
          </w:p>
        </w:tc>
      </w:tr>
      <w:tr>
        <w:tc>
          <w:tcPr>
            <w:tcW w:type="dxa" w:w="1500"/>
            <w:shd w:fill="E8EDF5" w:color="auto" w:val="clear"/>
            <w:tcMar>
              <w:top w:type="dxa" w:w="60"/>
              <w:left w:type="dxa" w:w="90"/>
              <w:bottom w:type="dxa" w:w="60"/>
              <w:right w:type="dxa" w:w="90"/>
            </w:tcMar>
          </w:tcPr>
          <w:p>
            <w:pPr>
              <w:spacing w:after="0" w:line="258"/>
              <w:jc w:val="center"/>
            </w:pPr>
            <w:r>
              <w:rPr>
                <w:b/>
                <w:bCs/>
                <w:color w:val="1A1A2E"/>
                <w:sz w:val="20"/>
                <w:szCs w:val="20"/>
              </w:rPr>
              <w:t xml:space="preserve">0.0–0.2</w:t>
            </w:r>
          </w:p>
        </w:tc>
        <w:tc>
          <w:tcPr>
            <w:tcW w:type="dxa" w:w="2100"/>
            <w:shd w:fill="E8EDF5" w:color="auto" w:val="clear"/>
            <w:tcMar>
              <w:top w:type="dxa" w:w="60"/>
              <w:left w:type="dxa" w:w="90"/>
              <w:bottom w:type="dxa" w:w="60"/>
              <w:right w:type="dxa" w:w="90"/>
            </w:tcMar>
          </w:tcPr>
          <w:p>
            <w:pPr>
              <w:spacing w:after="0" w:line="258"/>
            </w:pPr>
            <w:r>
              <w:rPr>
                <w:b/>
                <w:bCs/>
                <w:color w:val="1A1A2E"/>
                <w:sz w:val="20"/>
                <w:szCs w:val="20"/>
              </w:rPr>
              <w:t xml:space="preserve">Intuition / judgement</w:t>
            </w:r>
          </w:p>
        </w:tc>
        <w:tc>
          <w:tcPr>
            <w:tcW w:type="dxa" w:w="6480"/>
            <w:shd w:fill="E8EDF5" w:color="auto" w:val="clear"/>
            <w:tcMar>
              <w:top w:type="dxa" w:w="60"/>
              <w:left w:type="dxa" w:w="90"/>
              <w:bottom w:type="dxa" w:w="60"/>
              <w:right w:type="dxa" w:w="90"/>
            </w:tcMar>
          </w:tcPr>
          <w:p>
            <w:pPr>
              <w:spacing w:after="0" w:line="258"/>
            </w:pPr>
            <w:r>
              <w:rPr>
                <w:color w:val="1A1A2E"/>
                <w:sz w:val="20"/>
                <w:szCs w:val="20"/>
              </w:rPr>
              <w:t xml:space="preserve">Taste, vision, and experience lead. Founder gut / design-led; “trust your judgement.”</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0.3–0.4</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intuition</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Judgement-first, data used to confirm rather than decide.</w:t>
            </w:r>
          </w:p>
        </w:tc>
      </w:tr>
      <w:tr>
        <w:tc>
          <w:tcPr>
            <w:tcW w:type="dxa" w:w="1500"/>
            <w:shd w:fill="F2F2F2" w:color="auto" w:val="clear"/>
            <w:tcMar>
              <w:top w:type="dxa" w:w="60"/>
              <w:left w:type="dxa" w:w="90"/>
              <w:bottom w:type="dxa" w:w="60"/>
              <w:right w:type="dxa" w:w="90"/>
            </w:tcMar>
          </w:tcPr>
          <w:p>
            <w:pPr>
              <w:spacing w:after="0" w:line="258"/>
              <w:jc w:val="center"/>
            </w:pPr>
            <w:r>
              <w:rPr>
                <w:b/>
                <w:bCs/>
                <w:color w:val="1A1A2E"/>
                <w:sz w:val="20"/>
                <w:szCs w:val="20"/>
              </w:rPr>
              <w:t xml:space="preserve">0.5</w:t>
            </w:r>
          </w:p>
        </w:tc>
        <w:tc>
          <w:tcPr>
            <w:tcW w:type="dxa" w:w="2100"/>
            <w:shd w:fill="F2F2F2" w:color="auto" w:val="clear"/>
            <w:tcMar>
              <w:top w:type="dxa" w:w="60"/>
              <w:left w:type="dxa" w:w="90"/>
              <w:bottom w:type="dxa" w:w="60"/>
              <w:right w:type="dxa" w:w="90"/>
            </w:tcMar>
          </w:tcPr>
          <w:p>
            <w:pPr>
              <w:spacing w:after="0" w:line="258"/>
            </w:pPr>
            <w:r>
              <w:rPr>
                <w:b/>
                <w:bCs/>
                <w:color w:val="1A1A2E"/>
                <w:sz w:val="20"/>
                <w:szCs w:val="20"/>
              </w:rPr>
              <w:t xml:space="preserve">Mixed</w:t>
            </w:r>
          </w:p>
        </w:tc>
        <w:tc>
          <w:tcPr>
            <w:tcW w:type="dxa" w:w="6480"/>
            <w:shd w:fill="F2F2F2" w:color="auto" w:val="clear"/>
            <w:tcMar>
              <w:top w:type="dxa" w:w="60"/>
              <w:left w:type="dxa" w:w="90"/>
              <w:bottom w:type="dxa" w:w="60"/>
              <w:right w:type="dxa" w:w="90"/>
            </w:tcMar>
          </w:tcPr>
          <w:p>
            <w:pPr>
              <w:spacing w:after="0" w:line="258"/>
            </w:pPr>
            <w:r>
              <w:rPr>
                <w:color w:val="1A1A2E"/>
                <w:sz w:val="20"/>
                <w:szCs w:val="20"/>
              </w:rPr>
              <w:t xml:space="preserve">Both judgement and data carry weight depending on the call.</w:t>
            </w:r>
          </w:p>
        </w:tc>
      </w:tr>
      <w:tr>
        <w:tc>
          <w:tcPr>
            <w:tcW w:type="dxa" w:w="1500"/>
            <w:shd w:fill="FFFFFF" w:color="auto" w:val="clear"/>
            <w:tcMar>
              <w:top w:type="dxa" w:w="60"/>
              <w:left w:type="dxa" w:w="90"/>
              <w:bottom w:type="dxa" w:w="60"/>
              <w:right w:type="dxa" w:w="90"/>
            </w:tcMar>
          </w:tcPr>
          <w:p>
            <w:pPr>
              <w:spacing w:after="0" w:line="258"/>
              <w:jc w:val="center"/>
            </w:pPr>
            <w:r>
              <w:rPr>
                <w:b/>
                <w:bCs/>
                <w:color w:val="1A1A2E"/>
                <w:sz w:val="20"/>
                <w:szCs w:val="20"/>
              </w:rPr>
              <w:t xml:space="preserve">0.6–0.7</w:t>
            </w:r>
          </w:p>
        </w:tc>
        <w:tc>
          <w:tcPr>
            <w:tcW w:type="dxa" w:w="2100"/>
            <w:shd w:fill="FFFFFF" w:color="auto" w:val="clear"/>
            <w:tcMar>
              <w:top w:type="dxa" w:w="60"/>
              <w:left w:type="dxa" w:w="90"/>
              <w:bottom w:type="dxa" w:w="60"/>
              <w:right w:type="dxa" w:w="90"/>
            </w:tcMar>
          </w:tcPr>
          <w:p>
            <w:pPr>
              <w:spacing w:after="0" w:line="258"/>
            </w:pPr>
            <w:r>
              <w:rPr>
                <w:b/>
                <w:bCs/>
                <w:color w:val="1A1A2E"/>
                <w:sz w:val="20"/>
                <w:szCs w:val="20"/>
              </w:rPr>
              <w:t xml:space="preserve">Leaning data</w:t>
            </w:r>
          </w:p>
        </w:tc>
        <w:tc>
          <w:tcPr>
            <w:tcW w:type="dxa" w:w="6480"/>
            <w:shd w:fill="FFFFFF" w:color="auto" w:val="clear"/>
            <w:tcMar>
              <w:top w:type="dxa" w:w="60"/>
              <w:left w:type="dxa" w:w="90"/>
              <w:bottom w:type="dxa" w:w="60"/>
              <w:right w:type="dxa" w:w="90"/>
            </w:tcMar>
          </w:tcPr>
          <w:p>
            <w:pPr>
              <w:spacing w:after="0" w:line="258"/>
            </w:pPr>
            <w:r>
              <w:rPr>
                <w:color w:val="1A1A2E"/>
                <w:sz w:val="20"/>
                <w:szCs w:val="20"/>
              </w:rPr>
              <w:t xml:space="preserve">Metrics and experiments usually drive decisions; judgement fills gaps.</w:t>
            </w:r>
          </w:p>
        </w:tc>
      </w:tr>
      <w:tr>
        <w:tc>
          <w:tcPr>
            <w:tcW w:type="dxa" w:w="1500"/>
            <w:shd w:fill="F5ECE8" w:color="auto" w:val="clear"/>
            <w:tcMar>
              <w:top w:type="dxa" w:w="60"/>
              <w:left w:type="dxa" w:w="90"/>
              <w:bottom w:type="dxa" w:w="60"/>
              <w:right w:type="dxa" w:w="90"/>
            </w:tcMar>
          </w:tcPr>
          <w:p>
            <w:pPr>
              <w:spacing w:after="0" w:line="258"/>
              <w:jc w:val="center"/>
            </w:pPr>
            <w:r>
              <w:rPr>
                <w:b/>
                <w:bCs/>
                <w:color w:val="1A1A2E"/>
                <w:sz w:val="20"/>
                <w:szCs w:val="20"/>
              </w:rPr>
              <w:t xml:space="preserve">0.8–1.0</w:t>
            </w:r>
          </w:p>
        </w:tc>
        <w:tc>
          <w:tcPr>
            <w:tcW w:type="dxa" w:w="2100"/>
            <w:shd w:fill="F5ECE8" w:color="auto" w:val="clear"/>
            <w:tcMar>
              <w:top w:type="dxa" w:w="60"/>
              <w:left w:type="dxa" w:w="90"/>
              <w:bottom w:type="dxa" w:w="60"/>
              <w:right w:type="dxa" w:w="90"/>
            </w:tcMar>
          </w:tcPr>
          <w:p>
            <w:pPr>
              <w:spacing w:after="0" w:line="258"/>
            </w:pPr>
            <w:r>
              <w:rPr>
                <w:b/>
                <w:bCs/>
                <w:color w:val="1A1A2E"/>
                <w:sz w:val="20"/>
                <w:szCs w:val="20"/>
              </w:rPr>
              <w:t xml:space="preserve">Data / analysis</w:t>
            </w:r>
          </w:p>
        </w:tc>
        <w:tc>
          <w:tcPr>
            <w:tcW w:type="dxa" w:w="6480"/>
            <w:shd w:fill="F5ECE8" w:color="auto" w:val="clear"/>
            <w:tcMar>
              <w:top w:type="dxa" w:w="60"/>
              <w:left w:type="dxa" w:w="90"/>
              <w:bottom w:type="dxa" w:w="60"/>
              <w:right w:type="dxa" w:w="90"/>
            </w:tcMar>
          </w:tcPr>
          <w:p>
            <w:pPr>
              <w:spacing w:after="0" w:line="258"/>
            </w:pPr>
            <w:r>
              <w:rPr>
                <w:color w:val="1A1A2E"/>
                <w:sz w:val="20"/>
                <w:szCs w:val="20"/>
              </w:rPr>
              <w:t xml:space="preserve">“Data-driven,” experiment-gated, metrics-first, A/B-everything, analytics-heavy.</w:t>
            </w:r>
          </w:p>
        </w:tc>
      </w:tr>
    </w:tbl>
    <w:p>
      <w:r>
        <w:br w:type="page"/>
      </w:r>
    </w:p>
    <w:p>
      <w:pPr>
        <w:pStyle w:val="Heading1"/>
        <w:spacing w:after="140" w:before="260"/>
      </w:pPr>
      <w:r>
        <w:rPr>
          <w:b/>
          <w:bCs/>
          <w:color w:val="2E4374"/>
          <w:sz w:val="30"/>
          <w:szCs w:val="30"/>
        </w:rPr>
        <w:t xml:space="preserve">Confidence — how sure is this score</w:t>
      </w:r>
    </w:p>
    <w:p>
      <w:pPr>
        <w:spacing w:after="100" w:before="0" w:line="276"/>
      </w:pPr>
      <w:r>
        <w:rPr>
          <w:color w:val="1A1A2E"/>
          <w:sz w:val="21"/>
          <w:szCs w:val="21"/>
        </w:rPr>
        <w:t xml:space="preserve">Confidence is separate from the score. A 0.9 autonomy score at 0.3 confidence says “probably very self-directed, but I’m not sure.” The model uses it directly: low confidence → the score pulls toward the prior.</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600"/>
        <w:gridCol w:w="1600"/>
        <w:gridCol w:w="6880"/>
      </w:tblGrid>
      <w:tr>
        <w:trPr>
          <w:tblHeader/>
        </w:trPr>
        <w:tc>
          <w:tcPr>
            <w:tcW w:type="dxa" w:w="1600"/>
            <w:shd w:fill="2E4374" w:color="auto" w:val="clear"/>
            <w:tcMar>
              <w:top w:type="dxa" w:w="60"/>
              <w:left w:type="dxa" w:w="90"/>
              <w:bottom w:type="dxa" w:w="60"/>
              <w:right w:type="dxa" w:w="90"/>
            </w:tcMar>
          </w:tcPr>
          <w:p>
            <w:pPr>
              <w:spacing w:after="0" w:line="258"/>
              <w:jc w:val="center"/>
            </w:pPr>
            <w:r>
              <w:rPr>
                <w:b/>
                <w:bCs/>
                <w:color w:val="FFFFFF"/>
                <w:sz w:val="19"/>
                <w:szCs w:val="19"/>
              </w:rPr>
              <w:t xml:space="preserve">Confidence</w:t>
            </w:r>
          </w:p>
        </w:tc>
        <w:tc>
          <w:tcPr>
            <w:tcW w:type="dxa" w:w="16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880"/>
            <w:shd w:fill="2E4374" w:color="auto" w:val="clear"/>
            <w:tcMar>
              <w:top w:type="dxa" w:w="60"/>
              <w:left w:type="dxa" w:w="90"/>
              <w:bottom w:type="dxa" w:w="60"/>
              <w:right w:type="dxa" w:w="90"/>
            </w:tcMar>
          </w:tcPr>
          <w:p>
            <w:pPr>
              <w:spacing w:after="0" w:line="258"/>
            </w:pPr>
            <w:r>
              <w:rPr>
                <w:b/>
                <w:bCs/>
                <w:color w:val="FFFFFF"/>
                <w:sz w:val="19"/>
                <w:szCs w:val="19"/>
              </w:rPr>
              <w:t xml:space="preserve">When to use it</w:t>
            </w:r>
          </w:p>
        </w:tc>
      </w:tr>
      <w:tr>
        <w:tc>
          <w:tcPr>
            <w:tcW w:type="dxa" w:w="1600"/>
            <w:shd w:fill="E8EDF5" w:color="auto" w:val="clear"/>
            <w:tcMar>
              <w:top w:type="dxa" w:w="60"/>
              <w:left w:type="dxa" w:w="90"/>
              <w:bottom w:type="dxa" w:w="60"/>
              <w:right w:type="dxa" w:w="90"/>
            </w:tcMar>
          </w:tcPr>
          <w:p>
            <w:pPr>
              <w:spacing w:after="0" w:line="258"/>
              <w:jc w:val="center"/>
            </w:pPr>
            <w:r>
              <w:rPr>
                <w:b/>
                <w:bCs/>
                <w:color w:val="1A1A2E"/>
                <w:sz w:val="20"/>
                <w:szCs w:val="20"/>
              </w:rPr>
              <w:t xml:space="preserve">0.8–1.0</w:t>
            </w:r>
          </w:p>
        </w:tc>
        <w:tc>
          <w:tcPr>
            <w:tcW w:type="dxa" w:w="1600"/>
            <w:shd w:fill="E8EDF5" w:color="auto" w:val="clear"/>
            <w:tcMar>
              <w:top w:type="dxa" w:w="60"/>
              <w:left w:type="dxa" w:w="90"/>
              <w:bottom w:type="dxa" w:w="60"/>
              <w:right w:type="dxa" w:w="90"/>
            </w:tcMar>
          </w:tcPr>
          <w:p>
            <w:pPr>
              <w:spacing w:after="0" w:line="258"/>
            </w:pPr>
            <w:r>
              <w:rPr>
                <w:b/>
                <w:bCs/>
                <w:color w:val="1A1A2E"/>
                <w:sz w:val="20"/>
                <w:szCs w:val="20"/>
              </w:rPr>
              <w:t xml:space="preserve">High</w:t>
            </w:r>
          </w:p>
        </w:tc>
        <w:tc>
          <w:tcPr>
            <w:tcW w:type="dxa" w:w="6880"/>
            <w:shd w:fill="E8EDF5" w:color="auto" w:val="clear"/>
            <w:tcMar>
              <w:top w:type="dxa" w:w="60"/>
              <w:left w:type="dxa" w:w="90"/>
              <w:bottom w:type="dxa" w:w="60"/>
              <w:right w:type="dxa" w:w="90"/>
            </w:tcMar>
          </w:tcPr>
          <w:p>
            <w:pPr>
              <w:spacing w:after="0" w:line="258"/>
            </w:pPr>
            <w:r>
              <w:rPr>
                <w:color w:val="1A1A2E"/>
                <w:sz w:val="20"/>
                <w:szCs w:val="20"/>
              </w:rPr>
              <w:t xml:space="preserve">Multiple corroborating first-hand sources (careers page + reviews + eng blog/press) all point the same way.</w:t>
            </w:r>
          </w:p>
        </w:tc>
      </w:tr>
      <w:tr>
        <w:tc>
          <w:tcPr>
            <w:tcW w:type="dxa" w:w="1600"/>
            <w:shd w:fill="F2F2F2" w:color="auto" w:val="clear"/>
            <w:tcMar>
              <w:top w:type="dxa" w:w="60"/>
              <w:left w:type="dxa" w:w="90"/>
              <w:bottom w:type="dxa" w:w="60"/>
              <w:right w:type="dxa" w:w="90"/>
            </w:tcMar>
          </w:tcPr>
          <w:p>
            <w:pPr>
              <w:spacing w:after="0" w:line="258"/>
              <w:jc w:val="center"/>
            </w:pPr>
            <w:r>
              <w:rPr>
                <w:b/>
                <w:bCs/>
                <w:color w:val="1A1A2E"/>
                <w:sz w:val="20"/>
                <w:szCs w:val="20"/>
              </w:rPr>
              <w:t xml:space="preserve">0.5–0.7</w:t>
            </w:r>
          </w:p>
        </w:tc>
        <w:tc>
          <w:tcPr>
            <w:tcW w:type="dxa" w:w="1600"/>
            <w:shd w:fill="F2F2F2" w:color="auto" w:val="clear"/>
            <w:tcMar>
              <w:top w:type="dxa" w:w="60"/>
              <w:left w:type="dxa" w:w="90"/>
              <w:bottom w:type="dxa" w:w="60"/>
              <w:right w:type="dxa" w:w="90"/>
            </w:tcMar>
          </w:tcPr>
          <w:p>
            <w:pPr>
              <w:spacing w:after="0" w:line="258"/>
            </w:pPr>
            <w:r>
              <w:rPr>
                <w:b/>
                <w:bCs/>
                <w:color w:val="1A1A2E"/>
                <w:sz w:val="20"/>
                <w:szCs w:val="20"/>
              </w:rPr>
              <w:t xml:space="preserve">Medium</w:t>
            </w:r>
          </w:p>
        </w:tc>
        <w:tc>
          <w:tcPr>
            <w:tcW w:type="dxa" w:w="6880"/>
            <w:shd w:fill="F2F2F2" w:color="auto" w:val="clear"/>
            <w:tcMar>
              <w:top w:type="dxa" w:w="60"/>
              <w:left w:type="dxa" w:w="90"/>
              <w:bottom w:type="dxa" w:w="60"/>
              <w:right w:type="dxa" w:w="90"/>
            </w:tcMar>
          </w:tcPr>
          <w:p>
            <w:pPr>
              <w:spacing w:after="0" w:line="258"/>
            </w:pPr>
            <w:r>
              <w:rPr>
                <w:color w:val="1A1A2E"/>
                <w:sz w:val="20"/>
                <w:szCs w:val="20"/>
              </w:rPr>
              <w:t xml:space="preserve">Some real evidence but from one source type, or sources partly conflict. A defensible read, not a certain one.</w:t>
            </w:r>
          </w:p>
        </w:tc>
      </w:tr>
      <w:tr>
        <w:tc>
          <w:tcPr>
            <w:tcW w:type="dxa" w:w="1600"/>
            <w:shd w:fill="F5ECE8" w:color="auto" w:val="clear"/>
            <w:tcMar>
              <w:top w:type="dxa" w:w="60"/>
              <w:left w:type="dxa" w:w="90"/>
              <w:bottom w:type="dxa" w:w="60"/>
              <w:right w:type="dxa" w:w="90"/>
            </w:tcMar>
          </w:tcPr>
          <w:p>
            <w:pPr>
              <w:spacing w:after="0" w:line="258"/>
              <w:jc w:val="center"/>
            </w:pPr>
            <w:r>
              <w:rPr>
                <w:b/>
                <w:bCs/>
                <w:color w:val="1A1A2E"/>
                <w:sz w:val="20"/>
                <w:szCs w:val="20"/>
              </w:rPr>
              <w:t xml:space="preserve">0.2–0.4</w:t>
            </w:r>
          </w:p>
        </w:tc>
        <w:tc>
          <w:tcPr>
            <w:tcW w:type="dxa" w:w="1600"/>
            <w:shd w:fill="F5ECE8" w:color="auto" w:val="clear"/>
            <w:tcMar>
              <w:top w:type="dxa" w:w="60"/>
              <w:left w:type="dxa" w:w="90"/>
              <w:bottom w:type="dxa" w:w="60"/>
              <w:right w:type="dxa" w:w="90"/>
            </w:tcMar>
          </w:tcPr>
          <w:p>
            <w:pPr>
              <w:spacing w:after="0" w:line="258"/>
            </w:pPr>
            <w:r>
              <w:rPr>
                <w:b/>
                <w:bCs/>
                <w:color w:val="1A1A2E"/>
                <w:sz w:val="20"/>
                <w:szCs w:val="20"/>
              </w:rPr>
              <w:t xml:space="preserve">Low</w:t>
            </w:r>
          </w:p>
        </w:tc>
        <w:tc>
          <w:tcPr>
            <w:tcW w:type="dxa" w:w="6880"/>
            <w:shd w:fill="F5ECE8" w:color="auto" w:val="clear"/>
            <w:tcMar>
              <w:top w:type="dxa" w:w="60"/>
              <w:left w:type="dxa" w:w="90"/>
              <w:bottom w:type="dxa" w:w="60"/>
              <w:right w:type="dxa" w:w="90"/>
            </w:tcMar>
          </w:tcPr>
          <w:p>
            <w:pPr>
              <w:spacing w:after="0" w:line="258"/>
            </w:pPr>
            <w:r>
              <w:rPr>
                <w:color w:val="1A1A2E"/>
                <w:sz w:val="20"/>
                <w:szCs w:val="20"/>
              </w:rPr>
              <w:t xml:space="preserve">Thin or indirect evidence — inference from stage/industry, a single ambiguous signal. The model should lean on its prior here.</w:t>
            </w:r>
          </w:p>
        </w:tc>
      </w:tr>
    </w:tbl>
    <w:p>
      <w:pPr>
        <w:pStyle w:val="Heading1"/>
        <w:spacing w:after="140" w:before="260"/>
      </w:pPr>
      <w:r>
        <w:rPr>
          <w:b/>
          <w:bCs/>
          <w:color w:val="2E4374"/>
          <w:sz w:val="30"/>
          <w:szCs w:val="30"/>
        </w:rPr>
        <w:t xml:space="preserve">The three confounders to capture per company</w:t>
      </w:r>
    </w:p>
    <w:p>
      <w:pPr>
        <w:spacing w:after="100" w:before="0" w:line="276"/>
      </w:pPr>
      <w:r>
        <w:rPr>
          <w:color w:val="1A1A2E"/>
          <w:sz w:val="21"/>
          <w:szCs w:val="21"/>
        </w:rPr>
        <w:t xml:space="preserve">These are not culture scores. They are common causes of culture that the model adjusts for so it doesn’t mistake, say, “big company” for “low autonomy.” Record them raw and unscaled; the model standardizes them.</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1700"/>
        <w:gridCol w:w="2300"/>
        <w:gridCol w:w="6080"/>
      </w:tblGrid>
      <w:tr>
        <w:trPr>
          <w:tblHeader/>
        </w:trPr>
        <w:tc>
          <w:tcPr>
            <w:tcW w:type="dxa" w:w="1700"/>
            <w:shd w:fill="2E4374" w:color="auto" w:val="clear"/>
            <w:tcMar>
              <w:top w:type="dxa" w:w="60"/>
              <w:left w:type="dxa" w:w="90"/>
              <w:bottom w:type="dxa" w:w="60"/>
              <w:right w:type="dxa" w:w="90"/>
            </w:tcMar>
          </w:tcPr>
          <w:p>
            <w:pPr>
              <w:spacing w:after="0" w:line="258"/>
            </w:pPr>
            <w:r>
              <w:rPr>
                <w:b/>
                <w:bCs/>
                <w:color w:val="FFFFFF"/>
                <w:sz w:val="19"/>
                <w:szCs w:val="19"/>
              </w:rPr>
              <w:t xml:space="preserve">Confounder</w:t>
            </w:r>
          </w:p>
        </w:tc>
        <w:tc>
          <w:tcPr>
            <w:tcW w:type="dxa" w:w="2300"/>
            <w:shd w:fill="2E4374" w:color="auto" w:val="clear"/>
            <w:tcMar>
              <w:top w:type="dxa" w:w="60"/>
              <w:left w:type="dxa" w:w="90"/>
              <w:bottom w:type="dxa" w:w="60"/>
              <w:right w:type="dxa" w:w="90"/>
            </w:tcMar>
          </w:tcPr>
          <w:p>
            <w:pPr>
              <w:spacing w:after="0" w:line="258"/>
            </w:pPr>
            <w:r>
              <w:rPr>
                <w:b/>
                <w:bCs/>
                <w:color w:val="FFFFFF"/>
                <w:sz w:val="19"/>
                <w:szCs w:val="19"/>
              </w:rPr>
              <w:t xml:space="preserve">Kind</w:t>
            </w:r>
          </w:p>
        </w:tc>
        <w:tc>
          <w:tcPr>
            <w:tcW w:type="dxa" w:w="6080"/>
            <w:shd w:fill="2E4374" w:color="auto" w:val="clear"/>
            <w:tcMar>
              <w:top w:type="dxa" w:w="60"/>
              <w:left w:type="dxa" w:w="90"/>
              <w:bottom w:type="dxa" w:w="60"/>
              <w:right w:type="dxa" w:w="90"/>
            </w:tcMar>
          </w:tcPr>
          <w:p>
            <w:pPr>
              <w:spacing w:after="0" w:line="258"/>
            </w:pPr>
            <w:r>
              <w:rPr>
                <w:b/>
                <w:bCs/>
                <w:color w:val="FFFFFF"/>
                <w:sz w:val="19"/>
                <w:szCs w:val="19"/>
              </w:rPr>
              <w:t xml:space="preserve">How to record it</w:t>
            </w:r>
          </w:p>
        </w:tc>
      </w:tr>
      <w:tr>
        <w:tc>
          <w:tcPr>
            <w:tcW w:type="dxa" w:w="1700"/>
            <w:shd w:fill="F2F2F2" w:color="auto" w:val="clear"/>
            <w:tcMar>
              <w:top w:type="dxa" w:w="60"/>
              <w:left w:type="dxa" w:w="90"/>
              <w:bottom w:type="dxa" w:w="60"/>
              <w:right w:type="dxa" w:w="90"/>
            </w:tcMar>
          </w:tcPr>
          <w:p>
            <w:pPr>
              <w:spacing w:after="0" w:line="258"/>
            </w:pPr>
            <w:r>
              <w:rPr>
                <w:b/>
                <w:bCs/>
                <w:color w:val="1A1A2E"/>
                <w:sz w:val="20"/>
                <w:szCs w:val="20"/>
              </w:rPr>
              <w:t xml:space="preserve">stage_size</w:t>
            </w:r>
          </w:p>
        </w:tc>
        <w:tc>
          <w:tcPr>
            <w:tcW w:type="dxa" w:w="2300"/>
            <w:shd w:fill="F2F2F2" w:color="auto" w:val="clear"/>
            <w:tcMar>
              <w:top w:type="dxa" w:w="60"/>
              <w:left w:type="dxa" w:w="90"/>
              <w:bottom w:type="dxa" w:w="60"/>
              <w:right w:type="dxa" w:w="90"/>
            </w:tcMar>
          </w:tcPr>
          <w:p>
            <w:pPr>
              <w:spacing w:after="0" w:line="258"/>
            </w:pPr>
            <w:r>
              <w:rPr>
                <w:color w:val="1A1A2E"/>
                <w:sz w:val="20"/>
                <w:szCs w:val="20"/>
              </w:rPr>
              <w:t xml:space="preserve">continuous (raw index 1–5)</w:t>
            </w:r>
          </w:p>
        </w:tc>
        <w:tc>
          <w:tcPr>
            <w:tcW w:type="dxa" w:w="6080"/>
            <w:shd w:fill="F2F2F2" w:color="auto" w:val="clear"/>
            <w:tcMar>
              <w:top w:type="dxa" w:w="60"/>
              <w:left w:type="dxa" w:w="90"/>
              <w:bottom w:type="dxa" w:w="60"/>
              <w:right w:type="dxa" w:w="90"/>
            </w:tcMar>
          </w:tcPr>
          <w:p>
            <w:pPr>
              <w:spacing w:after="0" w:line="258"/>
            </w:pPr>
            <w:r>
              <w:rPr>
                <w:color w:val="1A1A2E"/>
                <w:sz w:val="20"/>
                <w:szCs w:val="20"/>
              </w:rPr>
              <w:t xml:space="preserve">1 = pre-seed/seed (&lt;20 people) · 2 = Series A–B (20–100) · 3 = growth (100–1,000) · 4 = large (1,000–10,000) · 5 = enterprise (10,000+). Record the index AND headcount.</w:t>
            </w:r>
          </w:p>
        </w:tc>
      </w:tr>
      <w:tr>
        <w:tc>
          <w:tcPr>
            <w:tcW w:type="dxa" w:w="1700"/>
            <w:shd w:fill="FFFFFF" w:color="auto" w:val="clear"/>
            <w:tcMar>
              <w:top w:type="dxa" w:w="60"/>
              <w:left w:type="dxa" w:w="90"/>
              <w:bottom w:type="dxa" w:w="60"/>
              <w:right w:type="dxa" w:w="90"/>
            </w:tcMar>
          </w:tcPr>
          <w:p>
            <w:pPr>
              <w:spacing w:after="0" w:line="258"/>
            </w:pPr>
            <w:r>
              <w:rPr>
                <w:b/>
                <w:bCs/>
                <w:color w:val="1A1A2E"/>
                <w:sz w:val="20"/>
                <w:szCs w:val="20"/>
              </w:rPr>
              <w:t xml:space="preserve">comp_vs_market</w:t>
            </w:r>
          </w:p>
        </w:tc>
        <w:tc>
          <w:tcPr>
            <w:tcW w:type="dxa" w:w="2300"/>
            <w:shd w:fill="FFFFFF" w:color="auto" w:val="clear"/>
            <w:tcMar>
              <w:top w:type="dxa" w:w="60"/>
              <w:left w:type="dxa" w:w="90"/>
              <w:bottom w:type="dxa" w:w="60"/>
              <w:right w:type="dxa" w:w="90"/>
            </w:tcMar>
          </w:tcPr>
          <w:p>
            <w:pPr>
              <w:spacing w:after="0" w:line="258"/>
            </w:pPr>
            <w:r>
              <w:rPr>
                <w:color w:val="1A1A2E"/>
                <w:sz w:val="20"/>
                <w:szCs w:val="20"/>
              </w:rPr>
              <w:t xml:space="preserve">ordered band 1–5</w:t>
            </w:r>
          </w:p>
        </w:tc>
        <w:tc>
          <w:tcPr>
            <w:tcW w:type="dxa" w:w="6080"/>
            <w:shd w:fill="FFFFFF" w:color="auto" w:val="clear"/>
            <w:tcMar>
              <w:top w:type="dxa" w:w="60"/>
              <w:left w:type="dxa" w:w="90"/>
              <w:bottom w:type="dxa" w:w="60"/>
              <w:right w:type="dxa" w:w="90"/>
            </w:tcMar>
          </w:tcPr>
          <w:p>
            <w:pPr>
              <w:spacing w:after="0" w:line="258"/>
            </w:pPr>
            <w:r>
              <w:rPr>
                <w:color w:val="1A1A2E"/>
                <w:sz w:val="20"/>
                <w:szCs w:val="20"/>
              </w:rPr>
              <w:t xml:space="preserve">Pay POSTURE, not dollars: how this company pays vs. its talent-market peers (see below). 1 well below … 3 at market … 5 well above. Stored as a number — the model treats it as one ordered continuous weight.</w:t>
            </w:r>
          </w:p>
        </w:tc>
      </w:tr>
      <w:tr>
        <w:tc>
          <w:tcPr>
            <w:tcW w:type="dxa" w:w="1700"/>
            <w:shd w:fill="F2F2F2" w:color="auto" w:val="clear"/>
            <w:tcMar>
              <w:top w:type="dxa" w:w="60"/>
              <w:left w:type="dxa" w:w="90"/>
              <w:bottom w:type="dxa" w:w="60"/>
              <w:right w:type="dxa" w:w="90"/>
            </w:tcMar>
          </w:tcPr>
          <w:p>
            <w:pPr>
              <w:spacing w:after="0" w:line="258"/>
            </w:pPr>
            <w:r>
              <w:rPr>
                <w:b/>
                <w:bCs/>
                <w:color w:val="1A1A2E"/>
                <w:sz w:val="20"/>
                <w:szCs w:val="20"/>
              </w:rPr>
              <w:t xml:space="preserve">industry</w:t>
            </w:r>
          </w:p>
        </w:tc>
        <w:tc>
          <w:tcPr>
            <w:tcW w:type="dxa" w:w="2300"/>
            <w:shd w:fill="F2F2F2" w:color="auto" w:val="clear"/>
            <w:tcMar>
              <w:top w:type="dxa" w:w="60"/>
              <w:left w:type="dxa" w:w="90"/>
              <w:bottom w:type="dxa" w:w="60"/>
              <w:right w:type="dxa" w:w="90"/>
            </w:tcMar>
          </w:tcPr>
          <w:p>
            <w:pPr>
              <w:spacing w:after="0" w:line="258"/>
            </w:pPr>
            <w:r>
              <w:rPr>
                <w:color w:val="1A1A2E"/>
                <w:sz w:val="20"/>
                <w:szCs w:val="20"/>
              </w:rPr>
              <w:t xml:space="preserve">categorical</w:t>
            </w:r>
          </w:p>
        </w:tc>
        <w:tc>
          <w:tcPr>
            <w:tcW w:type="dxa" w:w="6080"/>
            <w:shd w:fill="F2F2F2" w:color="auto" w:val="clear"/>
            <w:tcMar>
              <w:top w:type="dxa" w:w="60"/>
              <w:left w:type="dxa" w:w="90"/>
              <w:bottom w:type="dxa" w:w="60"/>
              <w:right w:type="dxa" w:w="90"/>
            </w:tcMar>
          </w:tcPr>
          <w:p>
            <w:pPr>
              <w:spacing w:after="0" w:line="258"/>
            </w:pPr>
            <w:r>
              <w:rPr>
                <w:color w:val="1A1A2E"/>
                <w:sz w:val="20"/>
                <w:szCs w:val="20"/>
              </w:rPr>
              <w:t xml:space="preserve">One of: tech · finance · healthcare · retail · other. Use “other” rather than forcing a poor fit.</w:t>
            </w:r>
          </w:p>
        </w:tc>
      </w:tr>
    </w:tbl>
    <w:p>
      <w:pPr>
        <w:pStyle w:val="Heading2"/>
        <w:spacing w:after="100" w:before="200"/>
      </w:pPr>
      <w:r>
        <w:rPr>
          <w:b/>
          <w:bCs/>
          <w:color w:val="1A1A2E"/>
          <w:sz w:val="24"/>
          <w:szCs w:val="24"/>
        </w:rPr>
        <w:t xml:space="preserve">Scoring comp_vs_market</w:t>
      </w:r>
    </w:p>
    <w:p>
      <w:pPr>
        <w:spacing w:after="80" w:line="276"/>
      </w:pPr>
      <w:r>
        <w:rPr>
          <w:b/>
          <w:bCs/>
          <w:sz w:val="20"/>
          <w:szCs w:val="20"/>
        </w:rPr>
        <w:t xml:space="preserve">Why a band, not a dollar figure. </w:t>
      </w:r>
      <w:r>
        <w:rPr>
          <w:sz w:val="20"/>
          <w:szCs w:val="20"/>
        </w:rPr>
        <w:t xml:space="preserve">Absolute pay isn’t a company-level property — it varies more within a company (grad vs. staff vs. VP, SF vs. remote) than the company varies from its peers, and the raw number is mostly explained by industry and geography, which the model already handles. What actually biases pace and autonomy is the company’s pay posture: “we pay top of market, so we expect intensity.” That posture is relative, so we score it relative.</w:t>
      </w:r>
    </w:p>
    <w:p>
      <w:pPr>
        <w:spacing w:after="100" w:line="276"/>
      </w:pPr>
      <w:r>
        <w:rPr>
          <w:b/>
          <w:bCs/>
          <w:color w:val="8A5A00"/>
          <w:sz w:val="20"/>
          <w:szCs w:val="20"/>
        </w:rPr>
        <w:t xml:space="preserve">The reference class (pin this down, or raters diverge). </w:t>
      </w:r>
      <w:r>
        <w:rPr>
          <w:i/>
          <w:iCs/>
          <w:color w:val="8A5A00"/>
          <w:sz w:val="20"/>
          <w:szCs w:val="20"/>
        </w:rPr>
        <w:t xml:space="preserve">Compare pay to the companies competing for the same TALENT — comparable roles, in the same industry, stage, and geography — not product competitors. A biotech and a bank can compete for products yet never for the same engineers.</w:t>
      </w:r>
    </w:p>
    <w:tbl>
      <w:tblPr>
        <w:tblW w:type="dxa" w:w="10080"/>
        <w:tblBorders>
          <w:top w:val="single" w:color="C9D2E0" w:sz="4"/>
          <w:left w:val="single" w:color="C9D2E0" w:sz="4"/>
          <w:bottom w:val="single" w:color="C9D2E0" w:sz="4"/>
          <w:right w:val="single" w:color="C9D2E0" w:sz="4"/>
          <w:insideH w:val="single" w:color="C9D2E0" w:sz="4"/>
          <w:insideV w:val="single" w:color="C9D2E0" w:sz="4"/>
        </w:tblBorders>
      </w:tblPr>
      <w:tblGrid>
        <w:gridCol w:w="900"/>
        <w:gridCol w:w="2400"/>
        <w:gridCol w:w="6780"/>
      </w:tblGrid>
      <w:tr>
        <w:trPr>
          <w:tblHeader/>
        </w:trPr>
        <w:tc>
          <w:tcPr>
            <w:tcW w:type="dxa" w:w="900"/>
            <w:shd w:fill="2E4374" w:color="auto" w:val="clear"/>
            <w:tcMar>
              <w:top w:type="dxa" w:w="60"/>
              <w:left w:type="dxa" w:w="90"/>
              <w:bottom w:type="dxa" w:w="60"/>
              <w:right w:type="dxa" w:w="90"/>
            </w:tcMar>
          </w:tcPr>
          <w:p>
            <w:pPr>
              <w:spacing w:after="0" w:line="258"/>
              <w:jc w:val="center"/>
            </w:pPr>
            <w:r>
              <w:rPr>
                <w:b/>
                <w:bCs/>
                <w:color w:val="FFFFFF"/>
                <w:sz w:val="19"/>
                <w:szCs w:val="19"/>
              </w:rPr>
              <w:t xml:space="preserve">Band</w:t>
            </w:r>
          </w:p>
        </w:tc>
        <w:tc>
          <w:tcPr>
            <w:tcW w:type="dxa" w:w="2400"/>
            <w:shd w:fill="2E4374" w:color="auto" w:val="clear"/>
            <w:tcMar>
              <w:top w:type="dxa" w:w="60"/>
              <w:left w:type="dxa" w:w="90"/>
              <w:bottom w:type="dxa" w:w="60"/>
              <w:right w:type="dxa" w:w="90"/>
            </w:tcMar>
          </w:tcPr>
          <w:p>
            <w:pPr>
              <w:spacing w:after="0" w:line="258"/>
            </w:pPr>
            <w:r>
              <w:rPr>
                <w:b/>
                <w:bCs/>
                <w:color w:val="FFFFFF"/>
                <w:sz w:val="19"/>
                <w:szCs w:val="19"/>
              </w:rPr>
              <w:t xml:space="preserve">Reads as</w:t>
            </w:r>
          </w:p>
        </w:tc>
        <w:tc>
          <w:tcPr>
            <w:tcW w:type="dxa" w:w="6780"/>
            <w:shd w:fill="2E4374" w:color="auto" w:val="clear"/>
            <w:tcMar>
              <w:top w:type="dxa" w:w="60"/>
              <w:left w:type="dxa" w:w="90"/>
              <w:bottom w:type="dxa" w:w="60"/>
              <w:right w:type="dxa" w:w="90"/>
            </w:tcMar>
          </w:tcPr>
          <w:p>
            <w:pPr>
              <w:spacing w:after="0" w:line="258"/>
            </w:pPr>
            <w:r>
              <w:rPr>
                <w:b/>
                <w:bCs/>
                <w:color w:val="FFFFFF"/>
                <w:sz w:val="19"/>
                <w:szCs w:val="19"/>
              </w:rPr>
              <w:t xml:space="preserve">What the evidence looks like</w:t>
            </w:r>
          </w:p>
        </w:tc>
      </w:tr>
      <w:tr>
        <w:tc>
          <w:tcPr>
            <w:tcW w:type="dxa" w:w="900"/>
            <w:shd w:fill="E8EDF5" w:color="auto" w:val="clear"/>
            <w:tcMar>
              <w:top w:type="dxa" w:w="60"/>
              <w:left w:type="dxa" w:w="90"/>
              <w:bottom w:type="dxa" w:w="60"/>
              <w:right w:type="dxa" w:w="90"/>
            </w:tcMar>
          </w:tcPr>
          <w:p>
            <w:pPr>
              <w:spacing w:after="0" w:line="258"/>
              <w:jc w:val="center"/>
            </w:pPr>
            <w:r>
              <w:rPr>
                <w:b/>
                <w:bCs/>
                <w:color w:val="1A1A2E"/>
                <w:sz w:val="20"/>
                <w:szCs w:val="20"/>
              </w:rPr>
              <w:t xml:space="preserve">1</w:t>
            </w:r>
          </w:p>
        </w:tc>
        <w:tc>
          <w:tcPr>
            <w:tcW w:type="dxa" w:w="2400"/>
            <w:shd w:fill="E8EDF5" w:color="auto" w:val="clear"/>
            <w:tcMar>
              <w:top w:type="dxa" w:w="60"/>
              <w:left w:type="dxa" w:w="90"/>
              <w:bottom w:type="dxa" w:w="60"/>
              <w:right w:type="dxa" w:w="90"/>
            </w:tcMar>
          </w:tcPr>
          <w:p>
            <w:pPr>
              <w:spacing w:after="0" w:line="258"/>
            </w:pPr>
            <w:r>
              <w:rPr>
                <w:b/>
                <w:bCs/>
                <w:color w:val="1A1A2E"/>
                <w:sz w:val="20"/>
                <w:szCs w:val="20"/>
              </w:rPr>
              <w:t xml:space="preserve">Well below market</w:t>
            </w:r>
          </w:p>
        </w:tc>
        <w:tc>
          <w:tcPr>
            <w:tcW w:type="dxa" w:w="6780"/>
            <w:shd w:fill="E8EDF5" w:color="auto" w:val="clear"/>
            <w:tcMar>
              <w:top w:type="dxa" w:w="60"/>
              <w:left w:type="dxa" w:w="90"/>
              <w:bottom w:type="dxa" w:w="60"/>
              <w:right w:type="dxa" w:w="90"/>
            </w:tcMar>
          </w:tcPr>
          <w:p>
            <w:pPr>
              <w:spacing w:after="0" w:line="258"/>
            </w:pPr>
            <w:r>
              <w:rPr>
                <w:color w:val="1A1A2E"/>
                <w:sz w:val="20"/>
                <w:szCs w:val="20"/>
              </w:rPr>
              <w:t xml:space="preserve">Known for low pay; loses candidates on comp; “mission over money” framing does the heavy lifting.</w:t>
            </w:r>
          </w:p>
        </w:tc>
      </w:tr>
      <w:tr>
        <w:tc>
          <w:tcPr>
            <w:tcW w:type="dxa" w:w="900"/>
            <w:shd w:fill="FFFFFF" w:color="auto" w:val="clear"/>
            <w:tcMar>
              <w:top w:type="dxa" w:w="60"/>
              <w:left w:type="dxa" w:w="90"/>
              <w:bottom w:type="dxa" w:w="60"/>
              <w:right w:type="dxa" w:w="90"/>
            </w:tcMar>
          </w:tcPr>
          <w:p>
            <w:pPr>
              <w:spacing w:after="0" w:line="258"/>
              <w:jc w:val="center"/>
            </w:pPr>
            <w:r>
              <w:rPr>
                <w:b/>
                <w:bCs/>
                <w:color w:val="1A1A2E"/>
                <w:sz w:val="20"/>
                <w:szCs w:val="20"/>
              </w:rPr>
              <w:t xml:space="preserve">2</w:t>
            </w:r>
          </w:p>
        </w:tc>
        <w:tc>
          <w:tcPr>
            <w:tcW w:type="dxa" w:w="2400"/>
            <w:shd w:fill="FFFFFF" w:color="auto" w:val="clear"/>
            <w:tcMar>
              <w:top w:type="dxa" w:w="60"/>
              <w:left w:type="dxa" w:w="90"/>
              <w:bottom w:type="dxa" w:w="60"/>
              <w:right w:type="dxa" w:w="90"/>
            </w:tcMar>
          </w:tcPr>
          <w:p>
            <w:pPr>
              <w:spacing w:after="0" w:line="258"/>
            </w:pPr>
            <w:r>
              <w:rPr>
                <w:b/>
                <w:bCs/>
                <w:color w:val="1A1A2E"/>
                <w:sz w:val="20"/>
                <w:szCs w:val="20"/>
              </w:rPr>
              <w:t xml:space="preserve">Below market</w:t>
            </w:r>
          </w:p>
        </w:tc>
        <w:tc>
          <w:tcPr>
            <w:tcW w:type="dxa" w:w="6780"/>
            <w:shd w:fill="FFFFFF" w:color="auto" w:val="clear"/>
            <w:tcMar>
              <w:top w:type="dxa" w:w="60"/>
              <w:left w:type="dxa" w:w="90"/>
              <w:bottom w:type="dxa" w:w="60"/>
              <w:right w:type="dxa" w:w="90"/>
            </w:tcMar>
          </w:tcPr>
          <w:p>
            <w:pPr>
              <w:spacing w:after="0" w:line="258"/>
            </w:pPr>
            <w:r>
              <w:rPr>
                <w:color w:val="1A1A2E"/>
                <w:sz w:val="20"/>
                <w:szCs w:val="20"/>
              </w:rPr>
              <w:t xml:space="preserve">Pays under peers; comp is a common complaint in reviews; trades cash for other draws.</w:t>
            </w:r>
          </w:p>
        </w:tc>
      </w:tr>
      <w:tr>
        <w:tc>
          <w:tcPr>
            <w:tcW w:type="dxa" w:w="900"/>
            <w:shd w:fill="F2F2F2" w:color="auto" w:val="clear"/>
            <w:tcMar>
              <w:top w:type="dxa" w:w="60"/>
              <w:left w:type="dxa" w:w="90"/>
              <w:bottom w:type="dxa" w:w="60"/>
              <w:right w:type="dxa" w:w="90"/>
            </w:tcMar>
          </w:tcPr>
          <w:p>
            <w:pPr>
              <w:spacing w:after="0" w:line="258"/>
              <w:jc w:val="center"/>
            </w:pPr>
            <w:r>
              <w:rPr>
                <w:b/>
                <w:bCs/>
                <w:color w:val="1A1A2E"/>
                <w:sz w:val="20"/>
                <w:szCs w:val="20"/>
              </w:rPr>
              <w:t xml:space="preserve">3</w:t>
            </w:r>
          </w:p>
        </w:tc>
        <w:tc>
          <w:tcPr>
            <w:tcW w:type="dxa" w:w="2400"/>
            <w:shd w:fill="F2F2F2" w:color="auto" w:val="clear"/>
            <w:tcMar>
              <w:top w:type="dxa" w:w="60"/>
              <w:left w:type="dxa" w:w="90"/>
              <w:bottom w:type="dxa" w:w="60"/>
              <w:right w:type="dxa" w:w="90"/>
            </w:tcMar>
          </w:tcPr>
          <w:p>
            <w:pPr>
              <w:spacing w:after="0" w:line="258"/>
            </w:pPr>
            <w:r>
              <w:rPr>
                <w:b/>
                <w:bCs/>
                <w:color w:val="1A1A2E"/>
                <w:sz w:val="20"/>
                <w:szCs w:val="20"/>
              </w:rPr>
              <w:t xml:space="preserve">At market</w:t>
            </w:r>
          </w:p>
        </w:tc>
        <w:tc>
          <w:tcPr>
            <w:tcW w:type="dxa" w:w="6780"/>
            <w:shd w:fill="F2F2F2" w:color="auto" w:val="clear"/>
            <w:tcMar>
              <w:top w:type="dxa" w:w="60"/>
              <w:left w:type="dxa" w:w="90"/>
              <w:bottom w:type="dxa" w:w="60"/>
              <w:right w:type="dxa" w:w="90"/>
            </w:tcMar>
          </w:tcPr>
          <w:p>
            <w:pPr>
              <w:spacing w:after="0" w:line="258"/>
            </w:pPr>
            <w:r>
              <w:rPr>
                <w:color w:val="1A1A2E"/>
                <w:sz w:val="20"/>
                <w:szCs w:val="20"/>
              </w:rPr>
              <w:t xml:space="preserve">Roughly median for comparable roles at similar companies. The default when evidence is mixed or absent.</w:t>
            </w:r>
          </w:p>
        </w:tc>
      </w:tr>
      <w:tr>
        <w:tc>
          <w:tcPr>
            <w:tcW w:type="dxa" w:w="900"/>
            <w:shd w:fill="FFFFFF" w:color="auto" w:val="clear"/>
            <w:tcMar>
              <w:top w:type="dxa" w:w="60"/>
              <w:left w:type="dxa" w:w="90"/>
              <w:bottom w:type="dxa" w:w="60"/>
              <w:right w:type="dxa" w:w="90"/>
            </w:tcMar>
          </w:tcPr>
          <w:p>
            <w:pPr>
              <w:spacing w:after="0" w:line="258"/>
              <w:jc w:val="center"/>
            </w:pPr>
            <w:r>
              <w:rPr>
                <w:b/>
                <w:bCs/>
                <w:color w:val="1A1A2E"/>
                <w:sz w:val="20"/>
                <w:szCs w:val="20"/>
              </w:rPr>
              <w:t xml:space="preserve">4</w:t>
            </w:r>
          </w:p>
        </w:tc>
        <w:tc>
          <w:tcPr>
            <w:tcW w:type="dxa" w:w="2400"/>
            <w:shd w:fill="FFFFFF" w:color="auto" w:val="clear"/>
            <w:tcMar>
              <w:top w:type="dxa" w:w="60"/>
              <w:left w:type="dxa" w:w="90"/>
              <w:bottom w:type="dxa" w:w="60"/>
              <w:right w:type="dxa" w:w="90"/>
            </w:tcMar>
          </w:tcPr>
          <w:p>
            <w:pPr>
              <w:spacing w:after="0" w:line="258"/>
            </w:pPr>
            <w:r>
              <w:rPr>
                <w:b/>
                <w:bCs/>
                <w:color w:val="1A1A2E"/>
                <w:sz w:val="20"/>
                <w:szCs w:val="20"/>
              </w:rPr>
              <w:t xml:space="preserve">Above market</w:t>
            </w:r>
          </w:p>
        </w:tc>
        <w:tc>
          <w:tcPr>
            <w:tcW w:type="dxa" w:w="6780"/>
            <w:shd w:fill="FFFFFF" w:color="auto" w:val="clear"/>
            <w:tcMar>
              <w:top w:type="dxa" w:w="60"/>
              <w:left w:type="dxa" w:w="90"/>
              <w:bottom w:type="dxa" w:w="60"/>
              <w:right w:type="dxa" w:w="90"/>
            </w:tcMar>
          </w:tcPr>
          <w:p>
            <w:pPr>
              <w:spacing w:after="0" w:line="258"/>
            </w:pPr>
            <w:r>
              <w:rPr>
                <w:color w:val="1A1A2E"/>
                <w:sz w:val="20"/>
                <w:szCs w:val="20"/>
              </w:rPr>
              <w:t xml:space="preserve">Pays a visible premium; comp cited as a reason people join/stay; upper-quartile bands.</w:t>
            </w:r>
          </w:p>
        </w:tc>
      </w:tr>
      <w:tr>
        <w:tc>
          <w:tcPr>
            <w:tcW w:type="dxa" w:w="900"/>
            <w:shd w:fill="F5ECE8" w:color="auto" w:val="clear"/>
            <w:tcMar>
              <w:top w:type="dxa" w:w="60"/>
              <w:left w:type="dxa" w:w="90"/>
              <w:bottom w:type="dxa" w:w="60"/>
              <w:right w:type="dxa" w:w="90"/>
            </w:tcMar>
          </w:tcPr>
          <w:p>
            <w:pPr>
              <w:spacing w:after="0" w:line="258"/>
              <w:jc w:val="center"/>
            </w:pPr>
            <w:r>
              <w:rPr>
                <w:b/>
                <w:bCs/>
                <w:color w:val="1A1A2E"/>
                <w:sz w:val="20"/>
                <w:szCs w:val="20"/>
              </w:rPr>
              <w:t xml:space="preserve">5</w:t>
            </w:r>
          </w:p>
        </w:tc>
        <w:tc>
          <w:tcPr>
            <w:tcW w:type="dxa" w:w="2400"/>
            <w:shd w:fill="F5ECE8" w:color="auto" w:val="clear"/>
            <w:tcMar>
              <w:top w:type="dxa" w:w="60"/>
              <w:left w:type="dxa" w:w="90"/>
              <w:bottom w:type="dxa" w:w="60"/>
              <w:right w:type="dxa" w:w="90"/>
            </w:tcMar>
          </w:tcPr>
          <w:p>
            <w:pPr>
              <w:spacing w:after="0" w:line="258"/>
            </w:pPr>
            <w:r>
              <w:rPr>
                <w:b/>
                <w:bCs/>
                <w:color w:val="1A1A2E"/>
                <w:sz w:val="20"/>
                <w:szCs w:val="20"/>
              </w:rPr>
              <w:t xml:space="preserve">Well above market</w:t>
            </w:r>
          </w:p>
        </w:tc>
        <w:tc>
          <w:tcPr>
            <w:tcW w:type="dxa" w:w="6780"/>
            <w:shd w:fill="F5ECE8" w:color="auto" w:val="clear"/>
            <w:tcMar>
              <w:top w:type="dxa" w:w="60"/>
              <w:left w:type="dxa" w:w="90"/>
              <w:bottom w:type="dxa" w:w="60"/>
              <w:right w:type="dxa" w:w="90"/>
            </w:tcMar>
          </w:tcPr>
          <w:p>
            <w:pPr>
              <w:spacing w:after="0" w:line="258"/>
            </w:pPr>
            <w:r>
              <w:rPr>
                <w:color w:val="1A1A2E"/>
                <w:sz w:val="20"/>
                <w:szCs w:val="20"/>
              </w:rPr>
              <w:t xml:space="preserve">Top-of-market by reputation (e.g. pays to win any offer); comp is an explicit recruiting weapon.</w:t>
            </w:r>
          </w:p>
        </w:tc>
      </w:tr>
    </w:tbl>
    <w:p>
      <w:pPr>
        <w:spacing w:after="40" w:before="80" w:line="276"/>
      </w:pPr>
      <w:r>
        <w:rPr>
          <w:i/>
          <w:iCs/>
          <w:color w:val="555555"/>
          <w:sz w:val="21"/>
          <w:szCs w:val="21"/>
        </w:rPr>
        <w:t xml:space="preserve">Sources: levels.fyi, Glassdoor/Blind salary ranges, offer data, and postings — always judged against the peer set above, never in absolute dollars. If you can only find an absolute number, translate it to a band before recording it.</w:t>
      </w:r>
    </w:p>
    <w:p>
      <w:pPr>
        <w:pStyle w:val="Heading1"/>
        <w:spacing w:after="140" w:before="260"/>
      </w:pPr>
      <w:r>
        <w:rPr>
          <w:b/>
          <w:bCs/>
          <w:color w:val="2E4374"/>
          <w:sz w:val="30"/>
          <w:szCs w:val="30"/>
        </w:rPr>
        <w:t xml:space="preserve">Why a second rater matters</w:t>
      </w:r>
    </w:p>
    <w:p>
      <w:pPr>
        <w:spacing w:after="100" w:line="276"/>
      </w:pPr>
      <w:r>
        <w:rPr>
          <w:b/>
          <w:bCs/>
          <w:sz w:val="21"/>
          <w:szCs w:val="21"/>
        </w:rPr>
        <w:t xml:space="preserve">One rater cannot be validated. </w:t>
      </w:r>
      <w:r>
        <w:rPr>
          <w:sz w:val="21"/>
          <w:szCs w:val="21"/>
        </w:rPr>
        <w:t xml:space="preserve">A single expert’s scores are indistinguishable from that expert’s personal lens — you can’t tell signal from idiosyncrasy, and you have nothing to check the scraping pipeline against. That is the exact single-source-of-bias problem Solverah deliberately avoids on the causal priors; it applies here too, because company scoring is an </w:t>
      </w:r>
      <w:r>
        <w:rPr>
          <w:i/>
          <w:iCs/>
          <w:sz w:val="21"/>
          <w:szCs w:val="21"/>
        </w:rPr>
        <w:t xml:space="preserve">observable</w:t>
      </w:r>
      <w:r>
        <w:rPr>
          <w:sz w:val="21"/>
          <w:szCs w:val="21"/>
        </w:rPr>
        <w:t xml:space="preserve"> quantity — the one place wisdom-of-crowds legitimately belongs.</w:t>
      </w:r>
    </w:p>
    <w:p>
      <w:pPr>
        <w:pStyle w:val="ListParagraph"/>
        <w:numPr>
          <w:ilvl w:val="0"/>
          <w:numId w:val="1"/>
        </w:numPr>
        <w:spacing w:after="60" w:line="264"/>
      </w:pPr>
      <w:r>
        <w:rPr>
          <w:color w:val="1A1A2E"/>
          <w:sz w:val="21"/>
          <w:szCs w:val="21"/>
        </w:rPr>
        <w:t xml:space="preserve">Have a second person score the same companies from the same evidence packet, blind to the first rater’s numbers.</w:t>
      </w:r>
    </w:p>
    <w:p>
      <w:pPr>
        <w:pStyle w:val="ListParagraph"/>
        <w:numPr>
          <w:ilvl w:val="0"/>
          <w:numId w:val="1"/>
        </w:numPr>
        <w:spacing w:after="60" w:line="264"/>
      </w:pPr>
      <w:r>
        <w:rPr>
          <w:color w:val="1A1A2E"/>
          <w:sz w:val="21"/>
          <w:szCs w:val="21"/>
        </w:rPr>
        <w:t xml:space="preserve">Compare per dimension. Where two raters land within ~0.15, the rubric is doing its job. Where they diverge by more, the anchor for that band is ambiguous — fix the wording, don’t average the scores.</w:t>
      </w:r>
    </w:p>
    <w:p>
      <w:pPr>
        <w:pStyle w:val="ListParagraph"/>
        <w:numPr>
          <w:ilvl w:val="0"/>
          <w:numId w:val="1"/>
        </w:numPr>
        <w:spacing w:after="60" w:line="264"/>
      </w:pPr>
      <w:r>
        <w:rPr>
          <w:color w:val="1A1A2E"/>
          <w:sz w:val="21"/>
          <w:szCs w:val="21"/>
        </w:rPr>
        <w:t xml:space="preserve">Track agreement over the set; it’s your evidence that these scores are reproducible rather than one person’s taste.</w:t>
      </w:r>
    </w:p>
    <w:p>
      <w:pPr>
        <w:pStyle w:val="Heading1"/>
        <w:spacing w:after="140" w:before="260"/>
      </w:pPr>
      <w:r>
        <w:rPr>
          <w:b/>
          <w:bCs/>
          <w:color w:val="2E4374"/>
          <w:sz w:val="30"/>
          <w:szCs w:val="30"/>
        </w:rPr>
        <w:t xml:space="preserve">Choosing the ground-truth set</w:t>
      </w:r>
    </w:p>
    <w:p>
      <w:pPr>
        <w:spacing w:after="80" w:before="0" w:line="276"/>
      </w:pPr>
      <w:r>
        <w:rPr>
          <w:color w:val="1A1A2E"/>
          <w:sz w:val="21"/>
          <w:szCs w:val="21"/>
        </w:rPr>
        <w:t xml:space="preserve">The point of this first set is calibration, not coverage. Pick companies you can score with real confidence and that spread across the scale — a set clustered in one corner calibrates nothing.</w:t>
      </w:r>
    </w:p>
    <w:p>
      <w:pPr>
        <w:pStyle w:val="ListParagraph"/>
        <w:numPr>
          <w:ilvl w:val="0"/>
          <w:numId w:val="1"/>
        </w:numPr>
        <w:spacing w:after="60" w:line="264"/>
      </w:pPr>
      <w:r>
        <w:rPr>
          <w:color w:val="1A1A2E"/>
          <w:sz w:val="21"/>
          <w:szCs w:val="21"/>
        </w:rPr>
        <w:t xml:space="preserve">15–20 companies to start. Enough to see spread, small enough to score carefully.</w:t>
      </w:r>
    </w:p>
    <w:p>
      <w:pPr>
        <w:pStyle w:val="ListParagraph"/>
        <w:numPr>
          <w:ilvl w:val="0"/>
          <w:numId w:val="1"/>
        </w:numPr>
        <w:spacing w:after="60" w:line="264"/>
      </w:pPr>
      <w:r>
        <w:rPr>
          <w:color w:val="1A1A2E"/>
          <w:sz w:val="21"/>
          <w:szCs w:val="21"/>
        </w:rPr>
        <w:t xml:space="preserve">Deliberately span the poles: include obvious low-autonomy AND high-autonomy cases, steady AND fast, and so on. Extremes anchor the scale.</w:t>
      </w:r>
    </w:p>
    <w:p>
      <w:pPr>
        <w:pStyle w:val="ListParagraph"/>
        <w:numPr>
          <w:ilvl w:val="0"/>
          <w:numId w:val="1"/>
        </w:numPr>
        <w:spacing w:after="60" w:line="264"/>
      </w:pPr>
      <w:r>
        <w:rPr>
          <w:color w:val="1A1A2E"/>
          <w:sz w:val="21"/>
          <w:szCs w:val="21"/>
        </w:rPr>
        <w:t xml:space="preserve">Spread across stage/size and industry, so stage isn’t perfectly confounded with any one culture score in the calibration set.</w:t>
      </w:r>
    </w:p>
    <w:p>
      <w:pPr>
        <w:pStyle w:val="ListParagraph"/>
        <w:numPr>
          <w:ilvl w:val="0"/>
          <w:numId w:val="1"/>
        </w:numPr>
        <w:spacing w:after="60" w:line="264"/>
      </w:pPr>
      <w:r>
        <w:rPr>
          <w:color w:val="1A1A2E"/>
          <w:sz w:val="21"/>
          <w:szCs w:val="21"/>
        </w:rPr>
        <w:t xml:space="preserve">Favor companies with rich public evidence or genuine first-hand knowledge. These are the anchors everything else is measured against — pick ones you can defend.</w:t>
      </w:r>
    </w:p>
    <w:p>
      <w:pPr>
        <w:pStyle w:val="ListParagraph"/>
        <w:numPr>
          <w:ilvl w:val="0"/>
          <w:numId w:val="1"/>
        </w:numPr>
        <w:spacing w:after="60" w:line="264"/>
      </w:pPr>
      <w:r>
        <w:rPr>
          <w:color w:val="1A1A2E"/>
          <w:sz w:val="21"/>
          <w:szCs w:val="21"/>
        </w:rPr>
        <w:t xml:space="preserve">Mark each as is_ground_truth = true and source = researched. When a company later declares its own scores, the same row upgrades to declared at confidence near 1.0.</w:t>
      </w:r>
    </w:p>
    <w:p>
      <w:pPr>
        <w:pBdr>
          <w:top w:val="single" w:color="C9D2E0" w:sz="8" w:space="6"/>
        </w:pBdr>
        <w:spacing w:before="220"/>
      </w:pPr>
      <w:r>
        <w:rPr>
          <w:i/>
          <w:iCs/>
          <w:color w:val="555555"/>
          <w:sz w:val="19"/>
          <w:szCs w:val="19"/>
        </w:rPr>
        <w:t xml:space="preserve">Companion file: Solverah_Company_Scoring_Workbook.xlsx — long-format capture of scores, confidence, evidence notes, confounders, and the second-rater agreement check. Fields map 1:1 to company_dimension_score and company_confounder_value.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Culture Rating Rubric</dc:title>
  <dc:creator>Solverah</dc:creator>
  <cp:lastModifiedBy>Un-named</cp:lastModifiedBy>
  <cp:revision>1</cp:revision>
  <dcterms:created xsi:type="dcterms:W3CDTF">2026-07-23T18:53:55.512Z</dcterms:created>
  <dcterms:modified xsi:type="dcterms:W3CDTF">2026-07-23T18:53:55.513Z</dcterms:modified>
</cp:coreProperties>
</file>

<file path=docProps/custom.xml><?xml version="1.0" encoding="utf-8"?>
<Properties xmlns="http://schemas.openxmlformats.org/officeDocument/2006/custom-properties" xmlns:vt="http://schemas.openxmlformats.org/officeDocument/2006/docPropsVTypes"/>
</file>