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9C7A53"/>
          <w:sz w:val="24"/>
          <w:szCs w:val="24"/>
        </w:rPr>
        <w:t xml:space="preserve">BUSINESSPLAN</w:t>
      </w:r>
    </w:p>
    <w:p>
      <w:pPr>
        <w:spacing w:before="200"/>
        <w:jc w:val="center"/>
      </w:pPr>
      <w:r>
        <w:rPr>
          <w:b w:val="false"/>
          <w:bCs w:val="false"/>
          <w:i/>
          <w:iCs/>
          <w:color w:val="2A2520"/>
          <w:sz w:val="56"/>
          <w:szCs w:val="56"/>
        </w:rPr>
        <w:t xml:space="preserve">IPT</w:t>
      </w:r>
    </w:p>
    <w:p>
      <w:pPr>
        <w:spacing w:after="600" w:before="200"/>
        <w:jc w:val="center"/>
      </w:pPr>
      <w:r>
        <w:rPr>
          <w:i/>
          <w:iCs/>
          <w:color w:val="2A2520"/>
          <w:sz w:val="26"/>
          <w:szCs w:val="26"/>
        </w:rPr>
        <w:t xml:space="preserve">Italy Pallet Trade — B2B-Direktvertrieb von Wein und Olivenöl im Palettengeschäft, Sizilien &amp; Friaul</w:t>
      </w:r>
    </w:p>
    <w:p>
      <w:pPr>
        <w:spacing w:after="60" w:before="3200"/>
        <w:jc w:val="center"/>
      </w:pPr>
      <w:r>
        <w:rPr>
          <w:color w:val="857A68"/>
          <w:sz w:val="21"/>
          <w:szCs w:val="21"/>
        </w:rPr>
        <w:t xml:space="preserve">Erstellt für</w:t>
      </w:r>
    </w:p>
    <w:p>
      <w:pPr>
        <w:spacing w:after="60"/>
        <w:jc w:val="center"/>
      </w:pPr>
      <w:r>
        <w:rPr>
          <w:b/>
          <w:bCs/>
          <w:color w:val="2A2520"/>
          <w:sz w:val="24"/>
          <w:szCs w:val="24"/>
        </w:rPr>
        <w:t xml:space="preserve">Stefano Granata</w:t>
      </w:r>
    </w:p>
    <w:p>
      <w:pPr>
        <w:spacing w:after="60"/>
        <w:jc w:val="center"/>
      </w:pPr>
      <w:r>
        <w:rPr>
          <w:color w:val="857A68"/>
          <w:sz w:val="20"/>
          <w:szCs w:val="20"/>
        </w:rPr>
        <w:t xml:space="preserve">Stand: 10. August 2026</w:t>
      </w:r>
    </w:p>
    <w:p>
      <w:pPr>
        <w:spacing w:after="40"/>
        <w:jc w:val="center"/>
      </w:pPr>
      <w:r>
        <w:rPr>
          <w:i/>
          <w:iCs/>
          <w:color w:val="857A68"/>
          <w:sz w:val="18"/>
          <w:szCs w:val="18"/>
        </w:rPr>
        <w:t xml:space="preserve">Vertraulich – nur zur internen Verwendung und zur Abstimmung mit den Partnerweingütern bestimmt</w:t>
      </w:r>
    </w:p>
    <w:p>
      <w:r>
        <w:br w:type="page"/>
      </w:r>
    </w:p>
    <w:p>
      <w:pPr>
        <w:pStyle w:val="Heading1"/>
      </w:pPr>
      <w:r>
        <w:rPr>
          <w:b/>
          <w:bCs/>
          <w:color w:val="2A2520"/>
        </w:rPr>
        <w:t xml:space="preserve">Inhaltsverzeichnis</w:t>
      </w:r>
    </w:p>
    <w:p>
      <w:pPr>
        <w:spacing w:after="140"/>
      </w:pPr>
      <w:r>
        <w:rPr>
          <w:color w:val="2A2520"/>
          <w:sz w:val="23"/>
          <w:szCs w:val="23"/>
        </w:rPr>
        <w:t xml:space="preserve">1. Executive Summary</w:t>
      </w:r>
    </w:p>
    <w:p>
      <w:pPr>
        <w:spacing w:after="140"/>
      </w:pPr>
      <w:r>
        <w:rPr>
          <w:color w:val="2A2520"/>
          <w:sz w:val="23"/>
          <w:szCs w:val="23"/>
        </w:rPr>
        <w:t xml:space="preserve">2. Unternehmen &amp; Vision</w:t>
      </w:r>
    </w:p>
    <w:p>
      <w:pPr>
        <w:spacing w:after="140"/>
      </w:pPr>
      <w:r>
        <w:rPr>
          <w:color w:val="2A2520"/>
          <w:sz w:val="23"/>
          <w:szCs w:val="23"/>
        </w:rPr>
        <w:t xml:space="preserve">3. Geschäftsmodell</w:t>
      </w:r>
    </w:p>
    <w:p>
      <w:pPr>
        <w:spacing w:after="140"/>
      </w:pPr>
      <w:r>
        <w:rPr>
          <w:color w:val="2A2520"/>
          <w:sz w:val="23"/>
          <w:szCs w:val="23"/>
        </w:rPr>
        <w:t xml:space="preserve">4. Produkte &amp; Partnerweingüter</w:t>
      </w:r>
    </w:p>
    <w:p>
      <w:pPr>
        <w:spacing w:after="140"/>
      </w:pPr>
      <w:r>
        <w:rPr>
          <w:color w:val="2A2520"/>
          <w:sz w:val="23"/>
          <w:szCs w:val="23"/>
        </w:rPr>
        <w:t xml:space="preserve">5. Markt &amp; Zielgruppe</w:t>
      </w:r>
    </w:p>
    <w:p>
      <w:pPr>
        <w:spacing w:after="140"/>
      </w:pPr>
      <w:r>
        <w:rPr>
          <w:color w:val="2A2520"/>
          <w:sz w:val="23"/>
          <w:szCs w:val="23"/>
        </w:rPr>
        <w:t xml:space="preserve">6. Wettbewerbsvorteile (USP)</w:t>
      </w:r>
    </w:p>
    <w:p>
      <w:pPr>
        <w:spacing w:after="140"/>
      </w:pPr>
      <w:r>
        <w:rPr>
          <w:color w:val="2A2520"/>
          <w:sz w:val="23"/>
          <w:szCs w:val="23"/>
        </w:rPr>
        <w:t xml:space="preserve">7. Plattform: Funktionsumfang von Website und App</w:t>
      </w:r>
    </w:p>
    <w:p>
      <w:pPr>
        <w:spacing w:after="140"/>
      </w:pPr>
      <w:r>
        <w:rPr>
          <w:color w:val="2A2520"/>
          <w:sz w:val="23"/>
          <w:szCs w:val="23"/>
        </w:rPr>
        <w:t xml:space="preserve">8. Preis- und Provisionsmodell</w:t>
      </w:r>
    </w:p>
    <w:p>
      <w:pPr>
        <w:spacing w:after="140"/>
      </w:pPr>
      <w:r>
        <w:rPr>
          <w:color w:val="2A2520"/>
          <w:sz w:val="23"/>
          <w:szCs w:val="23"/>
        </w:rPr>
        <w:t xml:space="preserve">9. Marketing &amp; Vertrieb</w:t>
      </w:r>
    </w:p>
    <w:p>
      <w:pPr>
        <w:spacing w:after="140"/>
      </w:pPr>
      <w:r>
        <w:rPr>
          <w:color w:val="2A2520"/>
          <w:sz w:val="23"/>
          <w:szCs w:val="23"/>
        </w:rPr>
        <w:t xml:space="preserve">10. Organisation &amp; Rollen</w:t>
      </w:r>
    </w:p>
    <w:p>
      <w:pPr>
        <w:spacing w:after="140"/>
      </w:pPr>
      <w:r>
        <w:rPr>
          <w:color w:val="2A2520"/>
          <w:sz w:val="23"/>
          <w:szCs w:val="23"/>
        </w:rPr>
        <w:t xml:space="preserve">11. Investitions- und Finanzplanung</w:t>
      </w:r>
    </w:p>
    <w:p>
      <w:pPr>
        <w:spacing w:after="140"/>
      </w:pPr>
      <w:r>
        <w:rPr>
          <w:color w:val="2A2520"/>
          <w:sz w:val="23"/>
          <w:szCs w:val="23"/>
        </w:rPr>
        <w:t xml:space="preserve">12. Chancen &amp; Risiken</w:t>
      </w:r>
    </w:p>
    <w:p>
      <w:pPr>
        <w:spacing w:after="140"/>
      </w:pPr>
      <w:r>
        <w:rPr>
          <w:color w:val="2A2520"/>
          <w:sz w:val="23"/>
          <w:szCs w:val="23"/>
        </w:rPr>
        <w:t xml:space="preserve">13. Roadmap</w:t>
      </w:r>
    </w:p>
    <w:p>
      <w:pPr>
        <w:spacing w:after="140"/>
      </w:pPr>
      <w:r>
        <w:rPr>
          <w:color w:val="2A2520"/>
          <w:sz w:val="23"/>
          <w:szCs w:val="23"/>
        </w:rPr>
        <w:t xml:space="preserve">14. Markenstudie: IPT — Name, Bedeutung und Gestaltungssprache</w:t>
      </w:r>
    </w:p>
    <w:p>
      <w:pPr>
        <w:spacing w:after="140"/>
      </w:pPr>
      <w:r>
        <w:rPr>
          <w:color w:val="2A2520"/>
          <w:sz w:val="23"/>
          <w:szCs w:val="23"/>
        </w:rPr>
        <w:t xml:space="preserve">15. Anhang: Website-Mockups (Konzeptvorschau)</w:t>
      </w:r>
    </w:p>
    <w:p>
      <w:r>
        <w:br w:type="page"/>
      </w:r>
    </w:p>
    <w:p>
      <w:pPr>
        <w:pStyle w:val="Heading1"/>
        <w:pBdr>
          <w:bottom w:val="single" w:color="9C7A53" w:sz="4" w:space="4"/>
        </w:pBdr>
        <w:spacing w:after="200" w:before="480"/>
      </w:pPr>
      <w:r>
        <w:rPr>
          <w:b w:val="false"/>
          <w:bCs w:val="false"/>
          <w:i/>
          <w:iCs/>
          <w:color w:val="2A2520"/>
          <w:sz w:val="30"/>
          <w:szCs w:val="30"/>
        </w:rPr>
        <w:t xml:space="preserve">1. Executive Summary</w:t>
      </w:r>
    </w:p>
    <w:p>
      <w:pPr>
        <w:spacing w:after="160" w:line="300"/>
        <w:jc w:val="both"/>
      </w:pPr>
      <w:r>
        <w:rPr>
          <w:b w:val="false"/>
          <w:bCs w:val="false"/>
          <w:i w:val="false"/>
          <w:iCs w:val="false"/>
          <w:color w:val="2A2520"/>
        </w:rPr>
        <w:t xml:space="preserve">IPT — Italy Pallet Trade ist eine B2B-Plattform (Website, später ergänzt um eine native App), die zwei etablierte Winzer – Ferreri Vini aus Santa Ninfa, Sizilien, und Colutta aus den Colli Orientali del Friuli – direkt mit gewerblichen Kunden in Deutschland verbindet: Gastronomie, Fachhandel, Weinhandlungen, Importeure, Flughäfen und Konzerne.</w:t>
      </w:r>
    </w:p>
    <w:p>
      <w:pPr>
        <w:spacing w:after="160" w:line="300"/>
        <w:jc w:val="both"/>
      </w:pPr>
      <w:r>
        <w:rPr>
          <w:b w:val="false"/>
          <w:bCs w:val="false"/>
          <w:i w:val="false"/>
          <w:iCs w:val="false"/>
          <w:color w:val="2A2520"/>
        </w:rPr>
        <w:t xml:space="preserve">Der Kerngedanke: Der klassische Großhandel als Zwischenstufe entfällt. Bestellt wird ausschließlich paletten- bzw. mischpalettenweise ab einer Mindestmenge von 600 Flaschen. Der Winzer bleibt Vertragspartner des Kunden, stellt die Rechnung, kassiert per Vorkasse und organisiert den Versand der Palette. Die Plattform vermittelt, bildet Preise transparent ab, ermöglicht individuelle Etiketten (Private Label) und stellt das digitale Vertriebswerkzeug für ein Netzwerk selbstständiger Vertriebler bereit.</w:t>
      </w:r>
    </w:p>
    <w:p>
      <w:pPr>
        <w:spacing w:after="160" w:line="300"/>
        <w:jc w:val="both"/>
      </w:pPr>
      <w:r>
        <w:rPr>
          <w:b w:val="false"/>
          <w:bCs w:val="false"/>
          <w:i w:val="false"/>
          <w:iCs w:val="false"/>
          <w:color w:val="2A2520"/>
        </w:rPr>
        <w:t xml:space="preserve">Weil weder Lagerhaltung noch eigenes Verkaufspersonal noch eigene Logistik anfallen, kann ein Preisvorteil erzielt werden, der insbesondere in einem preissensiblen Marktumfeld ein starkes Verkaufsargument ist. Die Plattform selbst verdient ausschließlich über eine Vermittlungsprovision (Vorschlag: 5 % vom Bestellwert), Vertriebler erhalten eine Verkaufsprovision (Vorschlag: 10 % vom Bestellwert). Beide Sätze sind marktüblich und werden in Kapitel 8 hergeleitet.</w:t>
      </w:r>
    </w:p>
    <w:p>
      <w:pPr>
        <w:spacing w:after="160" w:line="300"/>
        <w:jc w:val="both"/>
      </w:pPr>
      <w:r>
        <w:rPr>
          <w:b w:val="false"/>
          <w:bCs w:val="false"/>
          <w:i w:val="false"/>
          <w:iCs w:val="false"/>
          <w:color w:val="2A2520"/>
        </w:rPr>
        <w:t xml:space="preserve">Zusätzlich zum Kernsortiment Wein wird sizilianisches Olivenöl (Partner: Ferreri) in das Angebot aufgenommen und kann ebenfalls unter eigenem Etikett vertrieben werden.</w:t>
      </w:r>
    </w:p>
    <w:p>
      <w:pPr>
        <w:spacing w:after="160" w:line="300"/>
        <w:jc w:val="both"/>
      </w:pPr>
      <w:r>
        <w:rPr>
          <w:b w:val="false"/>
          <w:bCs w:val="false"/>
          <w:i w:val="false"/>
          <w:iCs w:val="false"/>
          <w:color w:val="2A2520"/>
        </w:rPr>
        <w:t xml:space="preserve">Dieses Dokument beschreibt Geschäftsmodell, Markt, Plattformfunktionen, Preis- und Provisionslogik, Investitionsbedarf und eine erste, mit Platzhalterwerten gerechnete Finanzplanung. Alle mit „Platzhalter“ gekennzeichneten Zahlen sind bewusst konservativ gewählte Annahmen, die nach Vorliegen der finalen Winzer-Preislisten kalibriert werden müssen.</w:t>
      </w:r>
    </w:p>
    <w:p>
      <w:r>
        <w:br w:type="page"/>
      </w:r>
    </w:p>
    <w:p>
      <w:pPr>
        <w:pStyle w:val="Heading1"/>
        <w:pBdr>
          <w:bottom w:val="single" w:color="9C7A53" w:sz="4" w:space="4"/>
        </w:pBdr>
        <w:spacing w:after="200" w:before="480"/>
      </w:pPr>
      <w:r>
        <w:rPr>
          <w:b w:val="false"/>
          <w:bCs w:val="false"/>
          <w:i/>
          <w:iCs/>
          <w:color w:val="2A2520"/>
          <w:sz w:val="30"/>
          <w:szCs w:val="30"/>
        </w:rPr>
        <w:t xml:space="preserve">2. Unternehmen &amp; Vision</w:t>
      </w:r>
    </w:p>
    <w:p>
      <w:pPr>
        <w:pStyle w:val="Heading2"/>
        <w:spacing w:after="140" w:before="320"/>
      </w:pPr>
      <w:r>
        <w:rPr>
          <w:b w:val="false"/>
          <w:bCs w:val="false"/>
          <w:i/>
          <w:iCs/>
          <w:color w:val="9C7A53"/>
          <w:sz w:val="24"/>
          <w:szCs w:val="24"/>
        </w:rPr>
        <w:t xml:space="preserve">2.1 Ausgangslage</w:t>
      </w:r>
    </w:p>
    <w:p>
      <w:pPr>
        <w:spacing w:after="160" w:line="300"/>
        <w:jc w:val="both"/>
      </w:pPr>
      <w:r>
        <w:rPr>
          <w:b w:val="false"/>
          <w:bCs w:val="false"/>
          <w:i w:val="false"/>
          <w:iCs w:val="false"/>
          <w:color w:val="2A2520"/>
        </w:rPr>
        <w:t xml:space="preserve">Es besteht noch keine Gesellschaft. Gründer und Betreiber der Plattform ist Stefano Granata. Die Gründung soll in Deutschland erfolgen; der technische Betrieb (Hosting, Domain, Provider) liegt bewusst in eigener Hand, um volle Kontrolle über Plattform, Daten und Markenauftritt zu behalten.</w:t>
      </w:r>
    </w:p>
    <w:p>
      <w:pPr>
        <w:pStyle w:val="Heading2"/>
        <w:spacing w:after="140" w:before="320"/>
      </w:pPr>
      <w:r>
        <w:rPr>
          <w:b w:val="false"/>
          <w:bCs w:val="false"/>
          <w:i/>
          <w:iCs/>
          <w:color w:val="9C7A53"/>
          <w:sz w:val="24"/>
          <w:szCs w:val="24"/>
        </w:rPr>
        <w:t xml:space="preserve">2.2 Rechtsform (nachrangig – reines Vermittlungsmodell)</w:t>
      </w:r>
    </w:p>
    <w:p>
      <w:pPr>
        <w:spacing w:after="160" w:line="300"/>
      </w:pPr>
      <w:r>
        <w:rPr>
          <w:b w:val="false"/>
          <w:bCs w:val="false"/>
          <w:i w:val="false"/>
          <w:iCs w:val="false"/>
          <w:color w:val="2A2520"/>
        </w:rPr>
        <w:t xml:space="preserve">Die Wahl der Rechtsform ist für dieses Geschäftsmodell von untergeordneter Bedeutung, weil IPT zu keinem Zeitpunkt Ware kauft, Ware besitzt oder gegenüber dem Endkunden haftet. IPT stellt die App/Plattform bereit und rechnet ausschließlich dann ab, wenn eine Bestellung tatsächlich zustande gekommen ist – die eigentliche Rechnungsstellung an den Endkunden liegt beim jeweiligen Winzer. Damit trägt IPT weder Waren- noch Delkredere-Risiko; das unternehmerische Risiko einer Kapitalgesellschaft (Haftungsschutz bei Warenschulden, Lieferverzug o. Ä.) greift hier kaum. Aus Gründen der Praktikabilität (eigenes Bankkonto, Rechnungsstellung an die Winzer, professioneller Außenauftritt) ist dennoch eine einfache haftungsbeschränkte Rechtsform sinnvoll (z. B. UG haftungsbeschränkt als kapitalschonender Einstieg); zwingend notwendig ist sie jedoch nicht. Die endgültige Wahl sollte mit einem Steuerberater in Deutschland final abgestimmt werden.</w:t>
      </w:r>
    </w:p>
    <w:p>
      <w:pPr>
        <w:pStyle w:val="Heading2"/>
        <w:spacing w:after="140" w:before="320"/>
      </w:pPr>
      <w:r>
        <w:rPr>
          <w:b w:val="false"/>
          <w:bCs w:val="false"/>
          <w:i/>
          <w:iCs/>
          <w:color w:val="9C7A53"/>
          <w:sz w:val="24"/>
          <w:szCs w:val="24"/>
        </w:rPr>
        <w:t xml:space="preserve">2.3 Vision</w:t>
      </w:r>
    </w:p>
    <w:p>
      <w:pPr>
        <w:spacing w:after="160" w:line="300"/>
        <w:jc w:val="both"/>
      </w:pPr>
      <w:r>
        <w:rPr>
          <w:b w:val="false"/>
          <w:bCs w:val="false"/>
          <w:i w:val="false"/>
          <w:iCs w:val="false"/>
          <w:color w:val="2A2520"/>
        </w:rPr>
        <w:t xml:space="preserve">Ein digitaler, transparenter B2B-Marktplatz zu werden, über den ausgewählte, qualitativ hochwertige italienische Weingüter ihre Produkte ohne Großhandelsaufschlag direkt an den deutschen Fachhandel und die Gastronomie bringen – ergänzt um die Möglichkeit, Wein und Olivenöl unter eigener Marke (Private Label) anzubieten.</w:t>
      </w:r>
    </w:p>
    <w:p>
      <w:pPr>
        <w:pStyle w:val="Heading2"/>
        <w:spacing w:after="140" w:before="320"/>
      </w:pPr>
      <w:r>
        <w:rPr>
          <w:b w:val="false"/>
          <w:bCs w:val="false"/>
          <w:i/>
          <w:iCs/>
          <w:color w:val="9C7A53"/>
          <w:sz w:val="24"/>
          <w:szCs w:val="24"/>
        </w:rPr>
        <w:t xml:space="preserve">2.4 Mission</w:t>
      </w:r>
    </w:p>
    <w:p>
      <w:pPr>
        <w:spacing w:after="160" w:line="300"/>
        <w:jc w:val="both"/>
      </w:pPr>
      <w:r>
        <w:rPr>
          <w:b w:val="false"/>
          <w:bCs w:val="false"/>
          <w:i w:val="false"/>
          <w:iCs w:val="false"/>
          <w:color w:val="2A2520"/>
        </w:rPr>
        <w:t xml:space="preserve">Faire, nachvollziehbare Preise für alle Beteiligten: bessere Konditionen für den Kunden, ein auskömmliches Einkommen für die Winzer ohne Großhandelsmarge, eine attraktive Provision für die Vertriebler und ein schlankes, digital abgebildetes Geschäftsmodell für den Plattformbetreiber.</w:t>
      </w:r>
    </w:p>
    <w:p>
      <w:r>
        <w:br w:type="page"/>
      </w:r>
    </w:p>
    <w:p>
      <w:pPr>
        <w:pStyle w:val="Heading1"/>
        <w:pBdr>
          <w:bottom w:val="single" w:color="9C7A53" w:sz="4" w:space="4"/>
        </w:pBdr>
        <w:spacing w:after="200" w:before="480"/>
      </w:pPr>
      <w:r>
        <w:rPr>
          <w:b w:val="false"/>
          <w:bCs w:val="false"/>
          <w:i/>
          <w:iCs/>
          <w:color w:val="2A2520"/>
          <w:sz w:val="30"/>
          <w:szCs w:val="30"/>
        </w:rPr>
        <w:t xml:space="preserve">3. Geschäftsmodell</w:t>
      </w:r>
    </w:p>
    <w:p>
      <w:pPr>
        <w:pStyle w:val="Heading2"/>
        <w:spacing w:after="140" w:before="320"/>
      </w:pPr>
      <w:r>
        <w:rPr>
          <w:b w:val="false"/>
          <w:bCs w:val="false"/>
          <w:i/>
          <w:iCs/>
          <w:color w:val="9C7A53"/>
          <w:sz w:val="24"/>
          <w:szCs w:val="24"/>
        </w:rPr>
        <w:t xml:space="preserve">3.1 Prinzip</w:t>
      </w:r>
    </w:p>
    <w:p>
      <w:pPr>
        <w:spacing w:after="160" w:line="300"/>
        <w:jc w:val="both"/>
      </w:pPr>
      <w:r>
        <w:rPr>
          <w:b w:val="false"/>
          <w:bCs w:val="false"/>
          <w:i w:val="false"/>
          <w:iCs w:val="false"/>
          <w:color w:val="2A2520"/>
        </w:rPr>
        <w:t xml:space="preserve">Die Plattform ist Vermittlerin, nicht Verkäuferin. Vertragspartner des Kunden bleibt in jedem Fall der jeweilige Winzer. Dieser stellt die Rechnung, vereinnahmt die Zahlung (Vorkasse) und organisiert Verpackung sowie Versand der Palette direkt an den Kunden. Die Plattform selbst kauft keine Ware, hält kein Lager und beschäftigt kein Verkaufs- oder Lagerpersonal.</w:t>
      </w:r>
    </w:p>
    <w:p>
      <w:pPr>
        <w:pStyle w:val="Heading2"/>
        <w:spacing w:after="140" w:before="320"/>
      </w:pPr>
      <w:r>
        <w:rPr>
          <w:b w:val="false"/>
          <w:bCs w:val="false"/>
          <w:i/>
          <w:iCs/>
          <w:color w:val="9C7A53"/>
          <w:sz w:val="24"/>
          <w:szCs w:val="24"/>
        </w:rPr>
        <w:t xml:space="preserve">3.2 Mindestbestellmenge &amp; Mischpaletten</w:t>
      </w:r>
    </w:p>
    <w:p>
      <w:pPr>
        <w:spacing w:after="160" w:line="300"/>
      </w:pPr>
      <w:r>
        <w:rPr>
          <w:b w:val="false"/>
          <w:bCs w:val="false"/>
          <w:i w:val="false"/>
          <w:iCs w:val="false"/>
          <w:color w:val="2A2520"/>
        </w:rPr>
        <w:t xml:space="preserve">Bestellt wird ausschließlich in vollen Paletten zu je 600 Flaschen. Kunden können eine Palette frei aus dem Sortiment beider Winzer zusammenstellen (Mischpalette) – z. B. eine Kombination aus sizilianischen und friulanischen Weinen oder verschiedenen Rebsorten/Preislagen eines Winzers. Diese Logik muss im Bestellprozess der Website als Konfigurator abgebildet werden (Fortschrittsanzeige „X von 600 Flaschen“).</w:t>
      </w:r>
    </w:p>
    <w:p>
      <w:pPr>
        <w:pStyle w:val="Heading2"/>
        <w:spacing w:after="140" w:before="320"/>
      </w:pPr>
      <w:r>
        <w:rPr>
          <w:b w:val="false"/>
          <w:bCs w:val="false"/>
          <w:i/>
          <w:iCs/>
          <w:color w:val="9C7A53"/>
          <w:sz w:val="24"/>
          <w:szCs w:val="24"/>
        </w:rPr>
        <w:t xml:space="preserve">3.3 Kostenstruktur &amp; Preisvorteil</w:t>
      </w:r>
    </w:p>
    <w:p>
      <w:pPr>
        <w:pStyle w:val="ListParagraph"/>
        <w:numPr>
          <w:ilvl w:val="0"/>
          <w:numId w:val="2"/>
        </w:numPr>
        <w:spacing w:after="90" w:line="290"/>
      </w:pPr>
      <w:r>
        <w:rPr>
          <w:b/>
          <w:bCs/>
          <w:color w:val="2A2520"/>
        </w:rPr>
        <w:t xml:space="preserve">Keine Lagerkosten: </w:t>
      </w:r>
      <w:r>
        <w:rPr>
          <w:color w:val="2A2520"/>
        </w:rPr>
        <w:t xml:space="preserve">Ware verbleibt bis zum Versand beim Winzer.</w:t>
      </w:r>
    </w:p>
    <w:p>
      <w:pPr>
        <w:pStyle w:val="ListParagraph"/>
        <w:numPr>
          <w:ilvl w:val="0"/>
          <w:numId w:val="2"/>
        </w:numPr>
        <w:spacing w:after="90" w:line="290"/>
      </w:pPr>
      <w:r>
        <w:rPr>
          <w:b/>
          <w:bCs/>
          <w:color w:val="2A2520"/>
        </w:rPr>
        <w:t xml:space="preserve">Keine Personalkosten für Verkauf/Kommissionierung: </w:t>
      </w:r>
      <w:r>
        <w:rPr>
          <w:color w:val="2A2520"/>
        </w:rPr>
        <w:t xml:space="preserve">der Winzer packt und versendet die Palette selbst.</w:t>
      </w:r>
    </w:p>
    <w:p>
      <w:pPr>
        <w:pStyle w:val="ListParagraph"/>
        <w:numPr>
          <w:ilvl w:val="0"/>
          <w:numId w:val="2"/>
        </w:numPr>
        <w:spacing w:after="90" w:line="290"/>
      </w:pPr>
      <w:r>
        <w:rPr>
          <w:b/>
          <w:bCs/>
          <w:color w:val="2A2520"/>
        </w:rPr>
        <w:t xml:space="preserve">Keine eigene Logistik: </w:t>
      </w:r>
      <w:r>
        <w:rPr>
          <w:color w:val="2A2520"/>
        </w:rPr>
        <w:t xml:space="preserve">Versand organisiert und trägt der Winzer, kalkuliert in den hinterlegten Flaschenpreis ein.</w:t>
      </w:r>
    </w:p>
    <w:p>
      <w:pPr>
        <w:pStyle w:val="ListParagraph"/>
        <w:numPr>
          <w:ilvl w:val="0"/>
          <w:numId w:val="2"/>
        </w:numPr>
        <w:spacing w:after="90" w:line="290"/>
      </w:pPr>
      <w:r>
        <w:rPr>
          <w:b/>
          <w:bCs/>
          <w:color w:val="2A2520"/>
        </w:rPr>
        <w:t xml:space="preserve">Ergebnis: </w:t>
      </w:r>
      <w:r>
        <w:rPr>
          <w:color w:val="2A2520"/>
        </w:rPr>
        <w:t xml:space="preserve">Der Wegfall der Großhandelsmarge (die im klassischen Modell meist beim Distributor verbleibt) kann teilweise an den Kunden weitergegeben werden – ein starkes Argument gerade in wirtschaftlich angespannten Zeiten.</w:t>
      </w:r>
    </w:p>
    <w:p>
      <w:pPr>
        <w:pStyle w:val="Heading2"/>
        <w:spacing w:after="140" w:before="320"/>
      </w:pPr>
      <w:r>
        <w:rPr>
          <w:b w:val="false"/>
          <w:bCs w:val="false"/>
          <w:i/>
          <w:iCs/>
          <w:color w:val="9C7A53"/>
          <w:sz w:val="24"/>
          <w:szCs w:val="24"/>
        </w:rPr>
        <w:t xml:space="preserve">3.4 Zahlungsablauf</w:t>
      </w:r>
    </w:p>
    <w:p>
      <w:pPr>
        <w:spacing w:after="160" w:line="300"/>
      </w:pPr>
      <w:r>
        <w:rPr>
          <w:b w:val="false"/>
          <w:bCs w:val="false"/>
          <w:i w:val="false"/>
          <w:iCs w:val="false"/>
          <w:color w:val="2A2520"/>
        </w:rPr>
        <w:t xml:space="preserve">Der Kunde bestellt über die Plattform und zahlt per Vorkasse direkt an den Winzer (Rechnungssteller). Der Winzer rechnet in einem festgelegten Turnus (Vorschlag: monatlich) die Provisionen an Plattform und Vertriebler ab, auf Basis der über das System dokumentierten Bestellungen. Das System muss daher jede Bestellung, ihren Wert und den zuständigen Vertriebler nachvollziehbar protokollieren, damit Provisionsabrechnungen widerspruchsfrei sind.</w:t>
      </w:r>
    </w:p>
    <w:p>
      <w:pPr>
        <w:pStyle w:val="Heading2"/>
        <w:spacing w:after="140" w:before="320"/>
      </w:pPr>
      <w:r>
        <w:rPr>
          <w:b w:val="false"/>
          <w:bCs w:val="false"/>
          <w:i/>
          <w:iCs/>
          <w:color w:val="9C7A53"/>
          <w:sz w:val="24"/>
          <w:szCs w:val="24"/>
        </w:rPr>
        <w:t xml:space="preserve">3.5 Erlösquelle der Plattform</w:t>
      </w:r>
    </w:p>
    <w:p>
      <w:pPr>
        <w:spacing w:after="160" w:line="300"/>
      </w:pPr>
      <w:r>
        <w:rPr>
          <w:b w:val="false"/>
          <w:bCs w:val="false"/>
          <w:i w:val="false"/>
          <w:iCs w:val="false"/>
          <w:color w:val="2A2520"/>
        </w:rPr>
        <w:t xml:space="preserve">Die Plattform verdient ausschließlich über die Vermittlungsprovision (Vorschlag: 5 % vom Netto-Bestellwert je Palette), die vom Winzer an den Plattformbetreiber abgeführt wird. Es gibt kein eigenes Warenlager, keinen Wareneinkauf und kein Delkredere-Risiko der Plattform gegenüber dem Endkunden.</w:t>
      </w:r>
    </w:p>
    <w:p>
      <w:r>
        <w:br w:type="page"/>
      </w:r>
    </w:p>
    <w:p>
      <w:pPr>
        <w:pStyle w:val="Heading1"/>
        <w:pBdr>
          <w:bottom w:val="single" w:color="9C7A53" w:sz="4" w:space="4"/>
        </w:pBdr>
        <w:spacing w:after="200" w:before="480"/>
      </w:pPr>
      <w:r>
        <w:rPr>
          <w:b w:val="false"/>
          <w:bCs w:val="false"/>
          <w:i/>
          <w:iCs/>
          <w:color w:val="2A2520"/>
          <w:sz w:val="30"/>
          <w:szCs w:val="30"/>
        </w:rPr>
        <w:t xml:space="preserve">4. Produkte &amp; Partnerweingüter</w:t>
      </w:r>
    </w:p>
    <w:p>
      <w:pPr>
        <w:pStyle w:val="Heading2"/>
        <w:spacing w:after="140" w:before="320"/>
      </w:pPr>
      <w:r>
        <w:rPr>
          <w:b w:val="false"/>
          <w:bCs w:val="false"/>
          <w:i/>
          <w:iCs/>
          <w:color w:val="9C7A53"/>
          <w:sz w:val="24"/>
          <w:szCs w:val="24"/>
        </w:rPr>
        <w:t xml:space="preserve">4.1 Ferreri Vini – Santa Ninfa, Sizilien</w:t>
      </w:r>
    </w:p>
    <w:p>
      <w:pPr>
        <w:pStyle w:val="ListParagraph"/>
        <w:numPr>
          <w:ilvl w:val="0"/>
          <w:numId w:val="2"/>
        </w:numPr>
        <w:spacing w:after="90" w:line="290"/>
      </w:pPr>
      <w:r>
        <w:rPr>
          <w:color w:val="2A2520"/>
        </w:rPr>
        <w:t xml:space="preserve">Weingut Ferreri &amp; Bianco, gegründet 2003 in Santa Ninfa (Provinz Trapani, Westsizilien)</w:t>
      </w:r>
    </w:p>
    <w:p>
      <w:pPr>
        <w:pStyle w:val="ListParagraph"/>
        <w:numPr>
          <w:ilvl w:val="0"/>
          <w:numId w:val="2"/>
        </w:numPr>
        <w:spacing w:after="90" w:line="290"/>
      </w:pPr>
      <w:r>
        <w:rPr>
          <w:color w:val="2A2520"/>
        </w:rPr>
        <w:t xml:space="preserve">Aufbauend auf rund 50 Jahren Winzererfahrung der Vätergeneration beider Gründerfamilien</w:t>
      </w:r>
    </w:p>
    <w:p>
      <w:pPr>
        <w:pStyle w:val="ListParagraph"/>
        <w:numPr>
          <w:ilvl w:val="0"/>
          <w:numId w:val="2"/>
        </w:numPr>
        <w:spacing w:after="90" w:line="290"/>
      </w:pPr>
      <w:r>
        <w:rPr>
          <w:color w:val="2A2520"/>
        </w:rPr>
        <w:t xml:space="preserve">Fokus auf Terroir und Mikroklima Westsiziliens, Tradition und regionale Identität</w:t>
      </w:r>
    </w:p>
    <w:p>
      <w:pPr>
        <w:pStyle w:val="ListParagraph"/>
        <w:numPr>
          <w:ilvl w:val="0"/>
          <w:numId w:val="2"/>
        </w:numPr>
        <w:spacing w:after="90" w:line="290"/>
      </w:pPr>
      <w:r>
        <w:rPr>
          <w:color w:val="2A2520"/>
        </w:rPr>
        <w:t xml:space="preserve">Weißweine: Grillo, Catarratto, Inzolia, Zibibbo</w:t>
      </w:r>
    </w:p>
    <w:p>
      <w:pPr>
        <w:pStyle w:val="ListParagraph"/>
        <w:numPr>
          <w:ilvl w:val="0"/>
          <w:numId w:val="2"/>
        </w:numPr>
        <w:spacing w:after="90" w:line="290"/>
      </w:pPr>
      <w:r>
        <w:rPr>
          <w:color w:val="2A2520"/>
        </w:rPr>
        <w:t xml:space="preserve">Rotweine: Nero d’Avola, Pignatello, Cabernet Sauvignon; Rosé aus Pignatello</w:t>
      </w:r>
    </w:p>
    <w:p>
      <w:pPr>
        <w:pStyle w:val="ListParagraph"/>
        <w:numPr>
          <w:ilvl w:val="0"/>
          <w:numId w:val="2"/>
        </w:numPr>
        <w:spacing w:after="90" w:line="290"/>
      </w:pPr>
      <w:r>
        <w:rPr>
          <w:color w:val="2A2520"/>
        </w:rPr>
        <w:t xml:space="preserve">Spezialitäten: Passito di Zibibbo, Metodo Classico (Schaumwein); Premiumlinien „Sette Vigne“ und „The Cru Wines“ (Al Merat, Karren, Brasi)</w:t>
      </w:r>
    </w:p>
    <w:p>
      <w:pPr>
        <w:pStyle w:val="ListParagraph"/>
        <w:numPr>
          <w:ilvl w:val="0"/>
          <w:numId w:val="2"/>
        </w:numPr>
        <w:spacing w:after="90" w:line="290"/>
      </w:pPr>
      <w:r>
        <w:rPr>
          <w:color w:val="2A2520"/>
        </w:rPr>
        <w:t xml:space="preserve">Auszeichnungen u. a. bei Vinitaly, Decanter, Los Angeles International Wine Competition, Gilbert &amp; Gaillard, AWC Vienna</w:t>
      </w:r>
    </w:p>
    <w:p>
      <w:pPr>
        <w:pStyle w:val="ListParagraph"/>
        <w:numPr>
          <w:ilvl w:val="0"/>
          <w:numId w:val="2"/>
        </w:numPr>
        <w:spacing w:after="90" w:line="290"/>
      </w:pPr>
      <w:r>
        <w:rPr>
          <w:color w:val="2A2520"/>
        </w:rPr>
        <w:t xml:space="preserve">Lieferant des Olivenöls für das gemeinsame Sortiment</w:t>
      </w:r>
    </w:p>
    <w:p>
      <w:pPr>
        <w:pStyle w:val="Heading2"/>
        <w:spacing w:after="140" w:before="320"/>
      </w:pPr>
      <w:r>
        <w:rPr>
          <w:b w:val="false"/>
          <w:bCs w:val="false"/>
          <w:i/>
          <w:iCs/>
          <w:color w:val="9C7A53"/>
          <w:sz w:val="24"/>
          <w:szCs w:val="24"/>
        </w:rPr>
        <w:t xml:space="preserve">4.2 Colutta – Manzano, Colli Orientali del Friuli</w:t>
      </w:r>
    </w:p>
    <w:p>
      <w:pPr>
        <w:pStyle w:val="ListParagraph"/>
        <w:numPr>
          <w:ilvl w:val="0"/>
          <w:numId w:val="2"/>
        </w:numPr>
        <w:spacing w:after="90" w:line="290"/>
      </w:pPr>
      <w:r>
        <w:rPr>
          <w:color w:val="2A2520"/>
        </w:rPr>
        <w:t xml:space="preserve">Landgut erworben von Antonio Colutta Anfang des 20. Jahrhunderts; heute in dritter Generation von Giorgio Colutta geführt</w:t>
      </w:r>
    </w:p>
    <w:p>
      <w:pPr>
        <w:pStyle w:val="ListParagraph"/>
        <w:numPr>
          <w:ilvl w:val="0"/>
          <w:numId w:val="2"/>
        </w:numPr>
        <w:spacing w:after="90" w:line="290"/>
      </w:pPr>
      <w:r>
        <w:rPr>
          <w:color w:val="2A2520"/>
        </w:rPr>
        <w:t xml:space="preserve">Sitz in Manzano (Provinz Udine), Weinberge verteilt auf die Gemeinden Buttrio, Manzano und Rosazzo – mitten in den Colli Orientali del Friuli</w:t>
      </w:r>
    </w:p>
    <w:p>
      <w:pPr>
        <w:pStyle w:val="ListParagraph"/>
        <w:numPr>
          <w:ilvl w:val="0"/>
          <w:numId w:val="2"/>
        </w:numPr>
        <w:spacing w:after="90" w:line="290"/>
      </w:pPr>
      <w:r>
        <w:rPr>
          <w:color w:val="2A2520"/>
        </w:rPr>
        <w:t xml:space="preserve">1999 umfassende Restaurierung einer Villa aus dem 18. Jahrhundert zum modernen Produktionsbetrieb, unter Erhalt der historischen Natursteinmauern und Holzbalken</w:t>
      </w:r>
    </w:p>
    <w:p>
      <w:pPr>
        <w:pStyle w:val="ListParagraph"/>
        <w:numPr>
          <w:ilvl w:val="0"/>
          <w:numId w:val="2"/>
        </w:numPr>
        <w:spacing w:after="90" w:line="290"/>
      </w:pPr>
      <w:r>
        <w:rPr>
          <w:color w:val="2A2520"/>
        </w:rPr>
        <w:t xml:space="preserve">Rund 23 Hektar Rebfläche, nahezu vollständig im „Parco della vite e del vino“ (Park für Weinbau und Wein) gelegen</w:t>
      </w:r>
    </w:p>
    <w:p>
      <w:pPr>
        <w:pStyle w:val="ListParagraph"/>
        <w:numPr>
          <w:ilvl w:val="0"/>
          <w:numId w:val="2"/>
        </w:numPr>
        <w:spacing w:after="90" w:line="290"/>
      </w:pPr>
      <w:r>
        <w:rPr>
          <w:color w:val="2A2520"/>
        </w:rPr>
        <w:t xml:space="preserve">Nachhaltige Bewirtschaftung: SQNPI-zertifiziert (Sistema di Qualità Nazionale di Produzione Integrata) seit 2017; eigene Photovoltaik- und Biomasse-Energieversorgung</w:t>
      </w:r>
    </w:p>
    <w:p>
      <w:pPr>
        <w:pStyle w:val="ListParagraph"/>
        <w:numPr>
          <w:ilvl w:val="0"/>
          <w:numId w:val="2"/>
        </w:numPr>
        <w:spacing w:after="90" w:line="290"/>
      </w:pPr>
      <w:r>
        <w:rPr>
          <w:color w:val="2A2520"/>
        </w:rPr>
        <w:t xml:space="preserve">Weinlinien: Tradizionale, Cru (Einzellagen), Spumanti (Schaumwein) und Magnum-Abfüllungen; internationale wie autochthone Rebsorten der Region (u. a. Sauvignon, Pinot Grigio sowie regionaltypische Sorten wie Friulano, Ribolla Gialla, Schioppettino)</w:t>
      </w:r>
    </w:p>
    <w:p>
      <w:pPr>
        <w:pStyle w:val="ListParagraph"/>
        <w:numPr>
          <w:ilvl w:val="0"/>
          <w:numId w:val="2"/>
        </w:numPr>
        <w:spacing w:after="90" w:line="290"/>
      </w:pPr>
      <w:r>
        <w:rPr>
          <w:color w:val="2A2520"/>
        </w:rPr>
        <w:t xml:space="preserve">Auch mit eigenem Gästehaus/Agriturismo direkt auf dem Weingut</w:t>
      </w:r>
    </w:p>
    <w:p>
      <w:pPr>
        <w:pStyle w:val="ListParagraph"/>
        <w:numPr>
          <w:ilvl w:val="0"/>
          <w:numId w:val="2"/>
        </w:numPr>
        <w:spacing w:after="90" w:line="290"/>
      </w:pPr>
      <w:r>
        <w:rPr>
          <w:color w:val="2A2520"/>
        </w:rPr>
        <w:t xml:space="preserve">Präsenz in internationaler Fachpresse: u. a. James Suckling, Wine Spectator, Decanter, Wine Enthusiast, Slow Wine, Gambero Rosso, DuemilaVini</w:t>
      </w:r>
    </w:p>
    <w:p>
      <w:pPr>
        <w:pStyle w:val="Heading2"/>
        <w:spacing w:after="140" w:before="320"/>
      </w:pPr>
      <w:r>
        <w:rPr>
          <w:b w:val="false"/>
          <w:bCs w:val="false"/>
          <w:i/>
          <w:iCs/>
          <w:color w:val="9C7A53"/>
          <w:sz w:val="24"/>
          <w:szCs w:val="24"/>
        </w:rPr>
        <w:t xml:space="preserve">4.3 Olivenöl</w:t>
      </w:r>
    </w:p>
    <w:p>
      <w:pPr>
        <w:spacing w:after="160" w:line="300"/>
      </w:pPr>
      <w:r>
        <w:rPr>
          <w:b w:val="false"/>
          <w:bCs w:val="false"/>
          <w:i w:val="false"/>
          <w:iCs w:val="false"/>
          <w:color w:val="2A2520"/>
        </w:rPr>
        <w:t xml:space="preserve">Ergänzend zum Weinsortiment wird natives Olivenöl vom sizilianischen Partner Ferreri angeboten. Das Öl kann – wie der Wein – als Bestandteil einer Mischpalette geordert und optional unter eigenem Etikett gebrandet werden. Für die Kalkulationslogik gilt dieselbe Systematik wie für Wein (Preis pro Einheit inklusive Transport, hinterlegt im System).</w:t>
      </w:r>
    </w:p>
    <w:p>
      <w:pPr>
        <w:pStyle w:val="Heading2"/>
        <w:spacing w:after="140" w:before="320"/>
      </w:pPr>
      <w:r>
        <w:rPr>
          <w:b w:val="false"/>
          <w:bCs w:val="false"/>
          <w:i/>
          <w:iCs/>
          <w:color w:val="9C7A53"/>
          <w:sz w:val="24"/>
          <w:szCs w:val="24"/>
        </w:rPr>
        <w:t xml:space="preserve">4.4 Private Label</w:t>
      </w:r>
    </w:p>
    <w:p>
      <w:pPr>
        <w:spacing w:after="160" w:line="300"/>
      </w:pPr>
      <w:r>
        <w:rPr>
          <w:b w:val="false"/>
          <w:bCs w:val="false"/>
          <w:i w:val="false"/>
          <w:iCs w:val="false"/>
          <w:color w:val="2A2520"/>
        </w:rPr>
        <w:t xml:space="preserve">Kunden (insbesondere Handelsketten, Gastronomiegruppen oder Importeure mit eigener Marke) können Wein und Olivenöl unter einem individuell gestalteten Etikett beziehen. Der Weinstil bzw. die Ölqualität bleibt dabei die des jeweiligen Winzers; lediglich das Etikett wird individualisiert. Dies ist ein eigenständiges Verkaufsargument gegenüber Kunden, die ein wiedererkennbares eigenes Markenprodukt in Gastronomie oder Handel platzieren möchten.</w:t>
      </w:r>
    </w:p>
    <w:p>
      <w:pPr>
        <w:pStyle w:val="Heading2"/>
        <w:spacing w:after="140" w:before="320"/>
      </w:pPr>
      <w:r>
        <w:rPr>
          <w:b w:val="false"/>
          <w:bCs w:val="false"/>
          <w:i/>
          <w:iCs/>
          <w:color w:val="9C7A53"/>
          <w:sz w:val="24"/>
          <w:szCs w:val="24"/>
        </w:rPr>
        <w:t xml:space="preserve">4.5 Probebox</w:t>
      </w:r>
    </w:p>
    <w:p>
      <w:pPr>
        <w:spacing w:after="160" w:line="300"/>
      </w:pPr>
      <w:r>
        <w:rPr>
          <w:b w:val="false"/>
          <w:bCs w:val="false"/>
          <w:i w:val="false"/>
          <w:iCs w:val="false"/>
          <w:color w:val="2A2520"/>
        </w:rPr>
        <w:t xml:space="preserve">Vor der Erstbestellung einer vollen Palette können Interessenten eine kostenpflichtige Probebox mit einer kuratierten Auswahl verschiedener Weine beider Winzer bestellen. Die Probebox senkt die Einstiegshürde, generiert einen kleinen zusätzlichen Erlös und dient dem Vertriebler als Türöffner im Verkaufsgespräch.</w:t>
      </w:r>
    </w:p>
    <w:p>
      <w:r>
        <w:br w:type="page"/>
      </w:r>
    </w:p>
    <w:p>
      <w:pPr>
        <w:pStyle w:val="Heading1"/>
        <w:pBdr>
          <w:bottom w:val="single" w:color="9C7A53" w:sz="4" w:space="4"/>
        </w:pBdr>
        <w:spacing w:after="200" w:before="480"/>
      </w:pPr>
      <w:r>
        <w:rPr>
          <w:b w:val="false"/>
          <w:bCs w:val="false"/>
          <w:i/>
          <w:iCs/>
          <w:color w:val="2A2520"/>
          <w:sz w:val="30"/>
          <w:szCs w:val="30"/>
        </w:rPr>
        <w:t xml:space="preserve">5. Markt &amp; Zielgruppe</w:t>
      </w:r>
    </w:p>
    <w:p>
      <w:pPr>
        <w:pStyle w:val="Heading2"/>
        <w:spacing w:after="140" w:before="320"/>
      </w:pPr>
      <w:r>
        <w:rPr>
          <w:b w:val="false"/>
          <w:bCs w:val="false"/>
          <w:i/>
          <w:iCs/>
          <w:color w:val="9C7A53"/>
          <w:sz w:val="24"/>
          <w:szCs w:val="24"/>
        </w:rPr>
        <w:t xml:space="preserve">5.1 Geografischer Fokus</w:t>
      </w:r>
    </w:p>
    <w:p>
      <w:pPr>
        <w:spacing w:after="160" w:line="300"/>
      </w:pPr>
      <w:r>
        <w:rPr>
          <w:b w:val="false"/>
          <w:bCs w:val="false"/>
          <w:i w:val="false"/>
          <w:iCs w:val="false"/>
          <w:color w:val="2A2520"/>
        </w:rPr>
        <w:t xml:space="preserve">Zielmarkt in der ersten Ausbaustufe ist Deutschland. Eine spätere Erweiterung auf Österreich, die Schweiz oder weitere EU-Länder ist als Option in der Roadmap vorgesehen, aber nicht Teil der ersten Phase.</w:t>
      </w:r>
    </w:p>
    <w:p>
      <w:pPr>
        <w:pStyle w:val="Heading2"/>
        <w:spacing w:after="140" w:before="320"/>
      </w:pPr>
      <w:r>
        <w:rPr>
          <w:b w:val="false"/>
          <w:bCs w:val="false"/>
          <w:i/>
          <w:iCs/>
          <w:color w:val="9C7A53"/>
          <w:sz w:val="24"/>
          <w:szCs w:val="24"/>
        </w:rPr>
        <w:t xml:space="preserve">5.2 Zielgruppen</w:t>
      </w:r>
    </w:p>
    <w:p>
      <w:pPr>
        <w:pStyle w:val="ListParagraph"/>
        <w:numPr>
          <w:ilvl w:val="0"/>
          <w:numId w:val="2"/>
        </w:numPr>
        <w:spacing w:after="90" w:line="290"/>
      </w:pPr>
      <w:r>
        <w:rPr>
          <w:b/>
          <w:bCs/>
          <w:color w:val="2A2520"/>
        </w:rPr>
        <w:t xml:space="preserve">Gastronomie: </w:t>
      </w:r>
      <w:r>
        <w:rPr>
          <w:color w:val="2A2520"/>
        </w:rPr>
        <w:t xml:space="preserve">Restaurants, Weinbars, Hotelketten mit eigener Weinkarte</w:t>
      </w:r>
    </w:p>
    <w:p>
      <w:pPr>
        <w:pStyle w:val="ListParagraph"/>
        <w:numPr>
          <w:ilvl w:val="0"/>
          <w:numId w:val="2"/>
        </w:numPr>
        <w:spacing w:after="90" w:line="290"/>
      </w:pPr>
      <w:r>
        <w:rPr>
          <w:b/>
          <w:bCs/>
          <w:color w:val="2A2520"/>
        </w:rPr>
        <w:t xml:space="preserve">Fachhandel / Weinhandlungen: </w:t>
      </w:r>
      <w:r>
        <w:rPr>
          <w:color w:val="2A2520"/>
        </w:rPr>
        <w:t xml:space="preserve">stationäre und online tätige Weinfachgeschäfte</w:t>
      </w:r>
    </w:p>
    <w:p>
      <w:pPr>
        <w:pStyle w:val="ListParagraph"/>
        <w:numPr>
          <w:ilvl w:val="0"/>
          <w:numId w:val="2"/>
        </w:numPr>
        <w:spacing w:after="90" w:line="290"/>
      </w:pPr>
      <w:r>
        <w:rPr>
          <w:b/>
          <w:bCs/>
          <w:color w:val="2A2520"/>
        </w:rPr>
        <w:t xml:space="preserve">Importeure: </w:t>
      </w:r>
      <w:r>
        <w:rPr>
          <w:color w:val="2A2520"/>
        </w:rPr>
        <w:t xml:space="preserve">Unternehmen, die italienische Weine im großen Stil nach Deutschland einführen</w:t>
      </w:r>
    </w:p>
    <w:p>
      <w:pPr>
        <w:pStyle w:val="ListParagraph"/>
        <w:numPr>
          <w:ilvl w:val="0"/>
          <w:numId w:val="2"/>
        </w:numPr>
        <w:spacing w:after="90" w:line="290"/>
      </w:pPr>
      <w:r>
        <w:rPr>
          <w:b/>
          <w:bCs/>
          <w:color w:val="2A2520"/>
        </w:rPr>
        <w:t xml:space="preserve">Flughäfen: </w:t>
      </w:r>
      <w:r>
        <w:rPr>
          <w:color w:val="2A2520"/>
        </w:rPr>
        <w:t xml:space="preserve">Duty-Free-Bereiche, Airport-Gastronomie und Lounges mit hochwertigem, repräsentativem Sortiment</w:t>
      </w:r>
    </w:p>
    <w:p>
      <w:pPr>
        <w:pStyle w:val="ListParagraph"/>
        <w:numPr>
          <w:ilvl w:val="0"/>
          <w:numId w:val="2"/>
        </w:numPr>
        <w:spacing w:after="90" w:line="290"/>
      </w:pPr>
      <w:r>
        <w:rPr>
          <w:b/>
          <w:bCs/>
          <w:color w:val="2A2520"/>
        </w:rPr>
        <w:t xml:space="preserve">Konzerne: </w:t>
      </w:r>
      <w:r>
        <w:rPr>
          <w:color w:val="2A2520"/>
        </w:rPr>
        <w:t xml:space="preserve">Firmenkunden für Corporate Gifting, Veranstaltungen und die Ausstattung von Betriebsgastronomie und VIP-Bereichen</w:t>
      </w:r>
    </w:p>
    <w:p>
      <w:pPr>
        <w:pStyle w:val="ListParagraph"/>
        <w:numPr>
          <w:ilvl w:val="0"/>
          <w:numId w:val="2"/>
        </w:numPr>
        <w:spacing w:after="90" w:line="290"/>
      </w:pPr>
      <w:r>
        <w:rPr>
          <w:b/>
          <w:bCs/>
          <w:color w:val="2A2520"/>
        </w:rPr>
        <w:t xml:space="preserve">Private-Label-Kunden: </w:t>
      </w:r>
      <w:r>
        <w:rPr>
          <w:color w:val="2A2520"/>
        </w:rPr>
        <w:t xml:space="preserve">Handelsketten, Gastronomiegruppen, Flughäfen und Konzerne mit Bedarf an eigens gebrandeten Wein- oder Ölprodukten (z. B. als repräsentatives Geschenk oder Sortiment mit Unternehmensmarke)</w:t>
      </w:r>
    </w:p>
    <w:p>
      <w:pPr>
        <w:spacing w:after="160" w:line="300"/>
      </w:pPr>
      <w:r>
        <w:rPr>
          <w:b w:val="false"/>
          <w:bCs w:val="false"/>
          <w:i w:val="false"/>
          <w:iCs w:val="false"/>
          <w:color w:val="2A2520"/>
        </w:rPr>
        <w:t xml:space="preserve">Privatkunden sind aufgrund der Mindestbestellmenge von 600 Flaschen pro Palette bewusst ausgeschlossen – das Modell ist konsequent B2B.</w:t>
      </w:r>
    </w:p>
    <w:p>
      <w:pPr>
        <w:pStyle w:val="Heading2"/>
        <w:spacing w:after="140" w:before="320"/>
      </w:pPr>
      <w:r>
        <w:rPr>
          <w:b w:val="false"/>
          <w:bCs w:val="false"/>
          <w:i/>
          <w:iCs/>
          <w:color w:val="9C7A53"/>
          <w:sz w:val="24"/>
          <w:szCs w:val="24"/>
        </w:rPr>
        <w:t xml:space="preserve">5.3 Marktumfeld</w:t>
      </w:r>
    </w:p>
    <w:p>
      <w:pPr>
        <w:spacing w:after="160" w:line="300"/>
      </w:pPr>
      <w:r>
        <w:rPr>
          <w:b w:val="false"/>
          <w:bCs w:val="false"/>
          <w:i w:val="false"/>
          <w:iCs w:val="false"/>
          <w:color w:val="2A2520"/>
        </w:rPr>
        <w:t xml:space="preserve">Gastronomie und Fachhandel stehen unter anhaltendem Kostendruck (Energie, Personal, Wareneinsatz). Ein Modell, das nachweisbar günstigere Einkaufspreise ermöglicht – bei gleichzeitig glaubwürdiger Winzer-Geschichte statt anonymer Großhandelsware – trifft einen relevanten Nerv der Zeit. Gleichzeitig wächst die Nachfrage nach nachvollziehbarer Herkunft und Storytelling („Der Mensch hinter dem Wein“), was die Winzer-Porträtseiten der Plattform direkt bedienen.</w:t>
      </w:r>
    </w:p>
    <w:p>
      <w:r>
        <w:br w:type="page"/>
      </w:r>
    </w:p>
    <w:p>
      <w:pPr>
        <w:pStyle w:val="Heading1"/>
        <w:pBdr>
          <w:bottom w:val="single" w:color="9C7A53" w:sz="4" w:space="4"/>
        </w:pBdr>
        <w:spacing w:after="200" w:before="480"/>
      </w:pPr>
      <w:r>
        <w:rPr>
          <w:b w:val="false"/>
          <w:bCs w:val="false"/>
          <w:i/>
          <w:iCs/>
          <w:color w:val="2A2520"/>
          <w:sz w:val="30"/>
          <w:szCs w:val="30"/>
        </w:rPr>
        <w:t xml:space="preserve">6. Wettbewerbsvorteile (USP)</w:t>
      </w:r>
    </w:p>
    <w:p>
      <w:pPr>
        <w:pStyle w:val="ListParagraph"/>
        <w:numPr>
          <w:ilvl w:val="0"/>
          <w:numId w:val="2"/>
        </w:numPr>
        <w:spacing w:after="90" w:line="290"/>
      </w:pPr>
      <w:r>
        <w:rPr>
          <w:b/>
          <w:bCs/>
          <w:color w:val="2A2520"/>
        </w:rPr>
        <w:t xml:space="preserve">Preis: </w:t>
      </w:r>
      <w:r>
        <w:rPr>
          <w:color w:val="2A2520"/>
        </w:rPr>
        <w:t xml:space="preserve">Wegfall der klassischen Großhandelsstufe ermöglicht wettbewerbsfähigere Einkaufspreise bei vergleichbarer Qualität.</w:t>
      </w:r>
    </w:p>
    <w:p>
      <w:pPr>
        <w:pStyle w:val="ListParagraph"/>
        <w:numPr>
          <w:ilvl w:val="0"/>
          <w:numId w:val="2"/>
        </w:numPr>
        <w:spacing w:after="90" w:line="290"/>
      </w:pPr>
      <w:r>
        <w:rPr>
          <w:b/>
          <w:bCs/>
          <w:color w:val="2A2520"/>
        </w:rPr>
        <w:t xml:space="preserve">Transparenz &amp; Storytelling: </w:t>
      </w:r>
      <w:r>
        <w:rPr>
          <w:color w:val="2A2520"/>
        </w:rPr>
        <w:t xml:space="preserve">Herkunft, Winzer-Familien und Referenzen sind auf der Plattform sichtbar statt anonymer Listungen.</w:t>
      </w:r>
    </w:p>
    <w:p>
      <w:pPr>
        <w:pStyle w:val="ListParagraph"/>
        <w:numPr>
          <w:ilvl w:val="0"/>
          <w:numId w:val="2"/>
        </w:numPr>
        <w:spacing w:after="90" w:line="290"/>
      </w:pPr>
      <w:r>
        <w:rPr>
          <w:b/>
          <w:bCs/>
          <w:color w:val="2A2520"/>
        </w:rPr>
        <w:t xml:space="preserve">Individualisierung: </w:t>
      </w:r>
      <w:r>
        <w:rPr>
          <w:color w:val="2A2520"/>
        </w:rPr>
        <w:t xml:space="preserve">Private-Label-Etiketten für Wein und Olivenöl, direkt online konfigurierbar.</w:t>
      </w:r>
    </w:p>
    <w:p>
      <w:pPr>
        <w:pStyle w:val="ListParagraph"/>
        <w:numPr>
          <w:ilvl w:val="0"/>
          <w:numId w:val="2"/>
        </w:numPr>
        <w:spacing w:after="90" w:line="290"/>
      </w:pPr>
      <w:r>
        <w:rPr>
          <w:b/>
          <w:bCs/>
          <w:color w:val="2A2520"/>
        </w:rPr>
        <w:t xml:space="preserve">Flexibilität: </w:t>
      </w:r>
      <w:r>
        <w:rPr>
          <w:color w:val="2A2520"/>
        </w:rPr>
        <w:t xml:space="preserve">Mischpaletten erlauben kleinere, bedarfsgerechte Sortimente trotz Mindestmenge.</w:t>
      </w:r>
    </w:p>
    <w:p>
      <w:pPr>
        <w:pStyle w:val="ListParagraph"/>
        <w:numPr>
          <w:ilvl w:val="0"/>
          <w:numId w:val="2"/>
        </w:numPr>
        <w:spacing w:after="90" w:line="290"/>
      </w:pPr>
      <w:r>
        <w:rPr>
          <w:b/>
          <w:bCs/>
          <w:color w:val="2A2520"/>
        </w:rPr>
        <w:t xml:space="preserve">Digitale Prozesse: </w:t>
      </w:r>
      <w:r>
        <w:rPr>
          <w:color w:val="2A2520"/>
        </w:rPr>
        <w:t xml:space="preserve">B2B-Login mit freigeschalteten Preisen, PDF-Katalog auf Knopfdruck, Chatbot-Support, Vertriebler-Backend.</w:t>
      </w:r>
    </w:p>
    <w:p>
      <w:pPr>
        <w:pStyle w:val="ListParagraph"/>
        <w:numPr>
          <w:ilvl w:val="0"/>
          <w:numId w:val="2"/>
        </w:numPr>
        <w:spacing w:after="90" w:line="290"/>
      </w:pPr>
      <w:r>
        <w:rPr>
          <w:b/>
          <w:bCs/>
          <w:color w:val="2A2520"/>
        </w:rPr>
        <w:t xml:space="preserve">Krisenrobustheit: </w:t>
      </w:r>
      <w:r>
        <w:rPr>
          <w:color w:val="2A2520"/>
        </w:rPr>
        <w:t xml:space="preserve">Gerade in wirtschaftlich angespannten Zeiten ist ein glaubwürdiger Preisvorteil ein starkes Verkaufsargument.</w:t>
      </w:r>
    </w:p>
    <w:p>
      <w:r>
        <w:br w:type="page"/>
      </w:r>
    </w:p>
    <w:p>
      <w:pPr>
        <w:pStyle w:val="Heading1"/>
        <w:pBdr>
          <w:bottom w:val="single" w:color="9C7A53" w:sz="4" w:space="4"/>
        </w:pBdr>
        <w:spacing w:after="200" w:before="480"/>
      </w:pPr>
      <w:r>
        <w:rPr>
          <w:b w:val="false"/>
          <w:bCs w:val="false"/>
          <w:i/>
          <w:iCs/>
          <w:color w:val="2A2520"/>
          <w:sz w:val="30"/>
          <w:szCs w:val="30"/>
        </w:rPr>
        <w:t xml:space="preserve">7. Plattform: Funktionsumfang von Website und App</w:t>
      </w:r>
    </w:p>
    <w:p>
      <w:pPr>
        <w:pStyle w:val="Heading2"/>
        <w:spacing w:after="140" w:before="320"/>
      </w:pPr>
      <w:r>
        <w:rPr>
          <w:b w:val="false"/>
          <w:bCs w:val="false"/>
          <w:i/>
          <w:iCs/>
          <w:color w:val="9C7A53"/>
          <w:sz w:val="24"/>
          <w:szCs w:val="24"/>
        </w:rPr>
        <w:t xml:space="preserve">7.1 Öffentlicher Bereich</w:t>
      </w:r>
    </w:p>
    <w:p>
      <w:pPr>
        <w:pStyle w:val="ListParagraph"/>
        <w:numPr>
          <w:ilvl w:val="0"/>
          <w:numId w:val="2"/>
        </w:numPr>
        <w:spacing w:after="90" w:line="290"/>
      </w:pPr>
      <w:r>
        <w:rPr>
          <w:color w:val="2A2520"/>
        </w:rPr>
        <w:t xml:space="preserve">Startseite mit Markenauftritt, Sortimentsüberblick, Storytelling</w:t>
      </w:r>
    </w:p>
    <w:p>
      <w:pPr>
        <w:pStyle w:val="ListParagraph"/>
        <w:numPr>
          <w:ilvl w:val="0"/>
          <w:numId w:val="2"/>
        </w:numPr>
        <w:spacing w:after="90" w:line="290"/>
      </w:pPr>
      <w:r>
        <w:rPr>
          <w:color w:val="2A2520"/>
        </w:rPr>
        <w:t xml:space="preserve">Winzer-Seiten je Weingut: Geschichte, Menschen/Familie hinter dem Weingut, Referenzen (wo die Weine bereits gelistet waren/sind)</w:t>
      </w:r>
    </w:p>
    <w:p>
      <w:pPr>
        <w:pStyle w:val="ListParagraph"/>
        <w:numPr>
          <w:ilvl w:val="0"/>
          <w:numId w:val="2"/>
        </w:numPr>
        <w:spacing w:after="90" w:line="290"/>
      </w:pPr>
      <w:r>
        <w:rPr>
          <w:color w:val="2A2520"/>
        </w:rPr>
        <w:t xml:space="preserve">Sortimentsübersicht mit Filtern nach Rebsorte, Region, Farbe, Preislage</w:t>
      </w:r>
    </w:p>
    <w:p>
      <w:pPr>
        <w:pStyle w:val="ListParagraph"/>
        <w:numPr>
          <w:ilvl w:val="0"/>
          <w:numId w:val="2"/>
        </w:numPr>
        <w:spacing w:after="90" w:line="290"/>
      </w:pPr>
      <w:r>
        <w:rPr>
          <w:color w:val="2A2520"/>
        </w:rPr>
        <w:t xml:space="preserve">Kontaktformular</w:t>
      </w:r>
    </w:p>
    <w:p>
      <w:pPr>
        <w:pStyle w:val="ListParagraph"/>
        <w:numPr>
          <w:ilvl w:val="0"/>
          <w:numId w:val="2"/>
        </w:numPr>
        <w:spacing w:after="90" w:line="290"/>
      </w:pPr>
      <w:r>
        <w:rPr>
          <w:color w:val="2A2520"/>
        </w:rPr>
        <w:t xml:space="preserve">KI-Chatbot für Erstkontakt, allgemeine Fragen und Weiterleitung an den zuständigen Vertriebler oder Winzer</w:t>
      </w:r>
    </w:p>
    <w:p>
      <w:pPr>
        <w:pStyle w:val="Heading2"/>
        <w:spacing w:after="140" w:before="320"/>
      </w:pPr>
      <w:r>
        <w:rPr>
          <w:b w:val="false"/>
          <w:bCs w:val="false"/>
          <w:i/>
          <w:iCs/>
          <w:color w:val="9C7A53"/>
          <w:sz w:val="24"/>
          <w:szCs w:val="24"/>
        </w:rPr>
        <w:t xml:space="preserve">7.1a KI-gestützte Erstkommunikation</w:t>
      </w:r>
    </w:p>
    <w:p>
      <w:pPr>
        <w:spacing w:after="160" w:line="300"/>
      </w:pPr>
      <w:r>
        <w:rPr>
          <w:b w:val="false"/>
          <w:bCs w:val="false"/>
          <w:i w:val="false"/>
          <w:iCs w:val="false"/>
          <w:color w:val="2A2520"/>
        </w:rPr>
        <w:t xml:space="preserve">Die gesamte Erstkommunikation mit Interessenten läuft KI-basiert über einen trainierten Chat-Assistenten: Sortimentsfragen, allgemeine Informationen zu Weingütern, Mindestbestellmenge, Ablauf und Konditionen werden automatisiert und rund um die Uhr beantwortet. Der Assistent wird laufend mit den Inhalten der Plattform (Sortiment, Preise, FAQ, Winzer-Geschichten) trainiert.</w:t>
      </w:r>
    </w:p>
    <w:p>
      <w:pPr>
        <w:spacing w:after="160" w:line="300"/>
      </w:pPr>
      <w:r>
        <w:rPr>
          <w:b w:val="false"/>
          <w:bCs w:val="false"/>
          <w:i w:val="false"/>
          <w:iCs w:val="false"/>
          <w:color w:val="2A2520"/>
        </w:rPr>
        <w:t xml:space="preserve">Sobald ein Gespräch konkret wird – Preisverhandlung, individuelles Angebot, Sonderwünsche zu Etikett oder Lieferung – übergibt die KI an den zuständigen Winzer bzw. Vertriebler. Ab diesem Punkt laufen Preisstellung, Angebotserstellung und Vertragsabschluss ausschließlich auf Seiten des Winzers (bzw. des vermittelnden Vertrieblers) weiter; die Plattform bleibt technischer Vermittler und protokolliert den Übergang für die spätere Provisionsabrechnung. Dieses Modell hält die Erstansprache skalierbar und günstig, während die eigentliche Verkaufsentscheidung dort bleibt, wo Fachwissen und Vertrauen am größten sind – beim Winzer.</w:t>
      </w:r>
    </w:p>
    <w:p>
      <w:pPr>
        <w:pStyle w:val="Heading2"/>
        <w:spacing w:after="140" w:before="320"/>
      </w:pPr>
      <w:r>
        <w:rPr>
          <w:b w:val="false"/>
          <w:bCs w:val="false"/>
          <w:i/>
          <w:iCs/>
          <w:color w:val="9C7A53"/>
          <w:sz w:val="24"/>
          <w:szCs w:val="24"/>
        </w:rPr>
        <w:t xml:space="preserve">7.2 B2B-Bereich (nach Login)</w:t>
      </w:r>
    </w:p>
    <w:p>
      <w:pPr>
        <w:pStyle w:val="ListParagraph"/>
        <w:numPr>
          <w:ilvl w:val="0"/>
          <w:numId w:val="2"/>
        </w:numPr>
        <w:spacing w:after="90" w:line="290"/>
      </w:pPr>
      <w:r>
        <w:rPr>
          <w:color w:val="2A2520"/>
        </w:rPr>
        <w:t xml:space="preserve">Registrierung/Freischaltung für Geschäftskunden (Verifizierung z. B. Gewerbenachweis), erst nach Freischaltung sichtbare Netto-B2B-Preise</w:t>
      </w:r>
    </w:p>
    <w:p>
      <w:pPr>
        <w:pStyle w:val="ListParagraph"/>
        <w:numPr>
          <w:ilvl w:val="0"/>
          <w:numId w:val="2"/>
        </w:numPr>
        <w:spacing w:after="90" w:line="290"/>
      </w:pPr>
      <w:r>
        <w:rPr>
          <w:color w:val="2A2520"/>
        </w:rPr>
        <w:t xml:space="preserve">Mischpaletten-Konfigurator mit Fortschrittsanzeige bis 600 Flaschen, Live-Preisberechnung inkl. Transport</w:t>
      </w:r>
    </w:p>
    <w:p>
      <w:pPr>
        <w:pStyle w:val="ListParagraph"/>
        <w:numPr>
          <w:ilvl w:val="0"/>
          <w:numId w:val="2"/>
        </w:numPr>
        <w:spacing w:after="90" w:line="290"/>
      </w:pPr>
      <w:r>
        <w:rPr>
          <w:color w:val="2A2520"/>
        </w:rPr>
        <w:t xml:space="preserve">Bestellung und Nachverfolgung des Bestellstatus</w:t>
      </w:r>
    </w:p>
    <w:p>
      <w:pPr>
        <w:pStyle w:val="ListParagraph"/>
        <w:numPr>
          <w:ilvl w:val="0"/>
          <w:numId w:val="2"/>
        </w:numPr>
        <w:spacing w:after="90" w:line="290"/>
      </w:pPr>
      <w:r>
        <w:rPr>
          <w:color w:val="2A2520"/>
        </w:rPr>
        <w:t xml:space="preserve">Bestellung einer kostenpflichtigen Probebox</w:t>
      </w:r>
    </w:p>
    <w:p>
      <w:pPr>
        <w:pStyle w:val="ListParagraph"/>
        <w:numPr>
          <w:ilvl w:val="0"/>
          <w:numId w:val="2"/>
        </w:numPr>
        <w:spacing w:after="90" w:line="290"/>
      </w:pPr>
      <w:r>
        <w:rPr>
          <w:color w:val="2A2520"/>
        </w:rPr>
        <w:t xml:space="preserve">Private-Label-/Etiketten-Designer: Auswahl einer Etiketten-Vorlage, Logo-Upload oder KI-gestützte Etikettengestaltung, Live-Vorschau auf der Flasche</w:t>
      </w:r>
    </w:p>
    <w:p>
      <w:pPr>
        <w:pStyle w:val="ListParagraph"/>
        <w:numPr>
          <w:ilvl w:val="0"/>
          <w:numId w:val="2"/>
        </w:numPr>
        <w:spacing w:after="90" w:line="290"/>
      </w:pPr>
      <w:r>
        <w:rPr>
          <w:color w:val="2A2520"/>
        </w:rPr>
        <w:t xml:space="preserve">PDF-Katalog-Generator: individueller oder vollständiger Produktkatalog als PDF zum Download/Ausdruck</w:t>
      </w:r>
    </w:p>
    <w:p>
      <w:pPr>
        <w:pStyle w:val="Heading2"/>
        <w:spacing w:after="140" w:before="320"/>
      </w:pPr>
      <w:r>
        <w:rPr>
          <w:b w:val="false"/>
          <w:bCs w:val="false"/>
          <w:i/>
          <w:iCs/>
          <w:color w:val="9C7A53"/>
          <w:sz w:val="24"/>
          <w:szCs w:val="24"/>
        </w:rPr>
        <w:t xml:space="preserve">7.3 Vertriebler-Backend</w:t>
      </w:r>
    </w:p>
    <w:p>
      <w:pPr>
        <w:pStyle w:val="ListParagraph"/>
        <w:numPr>
          <w:ilvl w:val="0"/>
          <w:numId w:val="2"/>
        </w:numPr>
        <w:spacing w:after="90" w:line="290"/>
      </w:pPr>
      <w:r>
        <w:rPr>
          <w:color w:val="2A2520"/>
        </w:rPr>
        <w:t xml:space="preserve">Kundenverwaltung (eigene zugeordnete Kunden, Bestellhistorie)</w:t>
      </w:r>
    </w:p>
    <w:p>
      <w:pPr>
        <w:pStyle w:val="ListParagraph"/>
        <w:numPr>
          <w:ilvl w:val="0"/>
          <w:numId w:val="2"/>
        </w:numPr>
        <w:spacing w:after="90" w:line="290"/>
      </w:pPr>
      <w:r>
        <w:rPr>
          <w:color w:val="2A2520"/>
        </w:rPr>
        <w:t xml:space="preserve">Provisionsübersicht (offen, abgerechnet, ausgezahlt) je Bestellung und Zeitraum</w:t>
      </w:r>
    </w:p>
    <w:p>
      <w:pPr>
        <w:pStyle w:val="ListParagraph"/>
        <w:numPr>
          <w:ilvl w:val="0"/>
          <w:numId w:val="2"/>
        </w:numPr>
        <w:spacing w:after="90" w:line="290"/>
      </w:pPr>
      <w:r>
        <w:rPr>
          <w:color w:val="2A2520"/>
        </w:rPr>
        <w:t xml:space="preserve">Bestellstatus-Übersicht über alle eigenen Kunden</w:t>
      </w:r>
    </w:p>
    <w:p>
      <w:pPr>
        <w:pStyle w:val="ListParagraph"/>
        <w:numPr>
          <w:ilvl w:val="0"/>
          <w:numId w:val="2"/>
        </w:numPr>
        <w:spacing w:after="90" w:line="290"/>
      </w:pPr>
      <w:r>
        <w:rPr>
          <w:color w:val="2A2520"/>
        </w:rPr>
        <w:t xml:space="preserve">Zugriff auf PDF-Kataloge und Verkaufsunterlagen zur Verwendung im Kundengespräch</w:t>
      </w:r>
    </w:p>
    <w:p>
      <w:pPr>
        <w:pStyle w:val="ListParagraph"/>
        <w:numPr>
          <w:ilvl w:val="0"/>
          <w:numId w:val="2"/>
        </w:numPr>
        <w:spacing w:after="90" w:line="290"/>
      </w:pPr>
      <w:r>
        <w:rPr>
          <w:color w:val="2A2520"/>
        </w:rPr>
        <w:t xml:space="preserve">Perspektivisch (Phase App): mobiler Zugriff für den Außendienst-Einsatz beim Kunden vor Ort</w:t>
      </w:r>
    </w:p>
    <w:p>
      <w:pPr>
        <w:pStyle w:val="Heading2"/>
        <w:spacing w:after="140" w:before="320"/>
      </w:pPr>
      <w:r>
        <w:rPr>
          <w:b w:val="false"/>
          <w:bCs w:val="false"/>
          <w:i/>
          <w:iCs/>
          <w:color w:val="9C7A53"/>
          <w:sz w:val="24"/>
          <w:szCs w:val="24"/>
        </w:rPr>
        <w:t xml:space="preserve">7.4 Administration (Plattformbetreiber)</w:t>
      </w:r>
    </w:p>
    <w:p>
      <w:pPr>
        <w:pStyle w:val="ListParagraph"/>
        <w:numPr>
          <w:ilvl w:val="0"/>
          <w:numId w:val="2"/>
        </w:numPr>
        <w:spacing w:after="90" w:line="290"/>
      </w:pPr>
      <w:r>
        <w:rPr>
          <w:color w:val="2A2520"/>
        </w:rPr>
        <w:t xml:space="preserve">Pflege von Produkten, Preisen (inkl. Transportkostenanteil je Flasche) und Verfügbarkeiten je Winzer</w:t>
      </w:r>
    </w:p>
    <w:p>
      <w:pPr>
        <w:pStyle w:val="ListParagraph"/>
        <w:numPr>
          <w:ilvl w:val="0"/>
          <w:numId w:val="2"/>
        </w:numPr>
        <w:spacing w:after="90" w:line="290"/>
      </w:pPr>
      <w:r>
        <w:rPr>
          <w:color w:val="2A2520"/>
        </w:rPr>
        <w:t xml:space="preserve">Freigabe neuer B2B-Kunden und Vertriebler</w:t>
      </w:r>
    </w:p>
    <w:p>
      <w:pPr>
        <w:pStyle w:val="ListParagraph"/>
        <w:numPr>
          <w:ilvl w:val="0"/>
          <w:numId w:val="2"/>
        </w:numPr>
        <w:spacing w:after="90" w:line="290"/>
      </w:pPr>
      <w:r>
        <w:rPr>
          <w:color w:val="2A2520"/>
        </w:rPr>
        <w:t xml:space="preserve">Provisionsabrechnung/-übersicht als Grundlage für die Abrechnung mit den Winzern</w:t>
      </w:r>
    </w:p>
    <w:p>
      <w:pPr>
        <w:pStyle w:val="ListParagraph"/>
        <w:numPr>
          <w:ilvl w:val="0"/>
          <w:numId w:val="2"/>
        </w:numPr>
        <w:spacing w:after="90" w:line="290"/>
      </w:pPr>
      <w:r>
        <w:rPr>
          <w:color w:val="2A2520"/>
        </w:rPr>
        <w:t xml:space="preserve">Auswertung: Bestellvolumen, Top-Produkte, aktivste Vertriebler</w:t>
      </w:r>
    </w:p>
    <w:p>
      <w:pPr>
        <w:pStyle w:val="Heading2"/>
        <w:spacing w:after="140" w:before="320"/>
      </w:pPr>
      <w:r>
        <w:rPr>
          <w:b w:val="false"/>
          <w:bCs w:val="false"/>
          <w:i/>
          <w:iCs/>
          <w:color w:val="9C7A53"/>
          <w:sz w:val="24"/>
          <w:szCs w:val="24"/>
        </w:rPr>
        <w:t xml:space="preserve">7.5 Native App (Phase 2)</w:t>
      </w:r>
    </w:p>
    <w:p>
      <w:pPr>
        <w:spacing w:after="160" w:line="300"/>
      </w:pPr>
      <w:r>
        <w:rPr>
          <w:b w:val="false"/>
          <w:bCs w:val="false"/>
          <w:i w:val="false"/>
          <w:iCs w:val="false"/>
          <w:color w:val="2A2520"/>
        </w:rPr>
        <w:t xml:space="preserve">Nach Launch der Website folgt eine native App (iOS/Android), primär für Vertriebler im Außeneinsatz: mobiler Zugriff auf Katalog, Preise, Probebox-Bestellung direkt beim Kundentermin und Provisionsübersicht. Der volle B2B-Bestellprozess inkl. Etiketten-Designer bleibt zunächst auf der Website, kann aber in einer späteren App-Version ergänzt werden.</w:t>
      </w:r>
    </w:p>
    <w:p>
      <w:r>
        <w:br w:type="page"/>
      </w:r>
    </w:p>
    <w:p>
      <w:pPr>
        <w:pStyle w:val="Heading1"/>
        <w:pBdr>
          <w:bottom w:val="single" w:color="9C7A53" w:sz="4" w:space="4"/>
        </w:pBdr>
        <w:spacing w:after="200" w:before="480"/>
      </w:pPr>
      <w:r>
        <w:rPr>
          <w:b w:val="false"/>
          <w:bCs w:val="false"/>
          <w:i/>
          <w:iCs/>
          <w:color w:val="2A2520"/>
          <w:sz w:val="30"/>
          <w:szCs w:val="30"/>
        </w:rPr>
        <w:t xml:space="preserve">8. Preis- und Provisionsmodell</w:t>
      </w:r>
    </w:p>
    <w:p>
      <w:pPr>
        <w:pStyle w:val="Heading2"/>
        <w:spacing w:after="140" w:before="320"/>
      </w:pPr>
      <w:r>
        <w:rPr>
          <w:b w:val="false"/>
          <w:bCs w:val="false"/>
          <w:i/>
          <w:iCs/>
          <w:color w:val="9C7A53"/>
          <w:sz w:val="24"/>
          <w:szCs w:val="24"/>
        </w:rPr>
        <w:t xml:space="preserve">8.1 Preisbildung pro Flasche</w:t>
      </w:r>
    </w:p>
    <w:p>
      <w:pPr>
        <w:spacing w:after="160" w:line="300"/>
      </w:pPr>
      <w:r>
        <w:rPr>
          <w:b w:val="false"/>
          <w:bCs w:val="false"/>
          <w:i w:val="false"/>
          <w:iCs w:val="false"/>
          <w:color w:val="2A2520"/>
        </w:rPr>
        <w:t xml:space="preserve">Jeder Winzer hinterlegt im System einen Endpreis pro Flasche inklusive Transportkosten zum Kunden – nicht nur einen reinen Ab-Hof-Preis. Nur so ist der Preisvergleich für den Kunden transparent und die Provisionsberechnung eindeutig. Für Einstiegsweine („Basic“) wird als Platzhalter eine Zielspanne von 4,00–4,50 € pro Flasche angenommen; Premium- und Cru-Lagen liegen entsprechend höher. Diese Werte sind mit beiden Winzern final zu kalkulieren, sobald reale Transportkosten für Palettenversand nach Deutschland vorliegen.</w:t>
      </w:r>
    </w:p>
    <w:p>
      <w:pPr>
        <w:pStyle w:val="Heading2"/>
        <w:spacing w:after="140" w:before="320"/>
      </w:pPr>
      <w:r>
        <w:rPr>
          <w:b w:val="false"/>
          <w:bCs w:val="false"/>
          <w:i/>
          <w:iCs/>
          <w:color w:val="9C7A53"/>
          <w:sz w:val="24"/>
          <w:szCs w:val="24"/>
        </w:rPr>
        <w:t xml:space="preserve">8.2 Provisionssätze</w:t>
      </w:r>
    </w:p>
    <w:p>
      <w:pPr>
        <w:spacing w:after="160" w:line="300"/>
      </w:pPr>
      <w:r>
        <w:rPr>
          <w:b w:val="false"/>
          <w:bCs w:val="false"/>
          <w:i w:val="false"/>
          <w:iCs w:val="false"/>
          <w:color w:val="2A2520"/>
        </w:rPr>
        <w:t xml:space="preserve">Marktübliche Provisionen für Handelsvertreter im Weinvertrieb bewegen sich meist zwischen 5 % und 15 % vom Nettoumsatz, abhängig von Beratungsintensität und Auftragsgröße; Vermittlungs-/Plattformprovisionen bei B2B-Marktplätzen liegen häufig zwischen 3 % und 8 %. Die vorgeschlagenen Sätze liegen damit im üblichen Rahmen: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2A2520" w:val="clear"/>
            <w:tcMar>
              <w:top w:type="dxa" w:w="80"/>
              <w:left w:type="dxa" w:w="100"/>
              <w:bottom w:type="dxa" w:w="80"/>
              <w:right w:type="dxa" w:w="100"/>
            </w:tcMar>
            <w:vAlign w:val="center"/>
          </w:tcPr>
          <w:p>
            <w:r>
              <w:rPr>
                <w:b/>
                <w:bCs/>
                <w:color w:val="FFFFFF"/>
                <w:sz w:val="19"/>
                <w:szCs w:val="19"/>
              </w:rPr>
              <w:t xml:space="preserve">Empfänger</w:t>
            </w:r>
          </w:p>
        </w:tc>
        <w:tc>
          <w:tcPr>
            <w:tcW w:type="dxa" w:w="2600"/>
            <w:shd w:fill="2A2520" w:val="clear"/>
            <w:tcMar>
              <w:top w:type="dxa" w:w="80"/>
              <w:left w:type="dxa" w:w="100"/>
              <w:bottom w:type="dxa" w:w="80"/>
              <w:right w:type="dxa" w:w="100"/>
            </w:tcMar>
            <w:vAlign w:val="center"/>
          </w:tcPr>
          <w:p>
            <w:r>
              <w:rPr>
                <w:b/>
                <w:bCs/>
                <w:color w:val="FFFFFF"/>
                <w:sz w:val="19"/>
                <w:szCs w:val="19"/>
              </w:rPr>
              <w:t xml:space="preserve">Provisionssatz</w:t>
            </w:r>
          </w:p>
        </w:tc>
        <w:tc>
          <w:tcPr>
            <w:tcW w:type="dxa" w:w="3200"/>
            <w:shd w:fill="2A2520" w:val="clear"/>
            <w:tcMar>
              <w:top w:type="dxa" w:w="80"/>
              <w:left w:type="dxa" w:w="100"/>
              <w:bottom w:type="dxa" w:w="80"/>
              <w:right w:type="dxa" w:w="100"/>
            </w:tcMar>
            <w:vAlign w:val="center"/>
          </w:tcPr>
          <w:p>
            <w:r>
              <w:rPr>
                <w:b/>
                <w:bCs/>
                <w:color w:val="FFFFFF"/>
                <w:sz w:val="19"/>
                <w:szCs w:val="19"/>
              </w:rPr>
              <w:t xml:space="preserve">Bemessungsgrundlage</w:t>
            </w:r>
          </w:p>
        </w:tc>
      </w:tr>
      <w:tr>
        <w:tc>
          <w:tcPr>
            <w:tcW w:type="dxa" w:w="3200"/>
            <w:shd w:fill="FFFFFF" w:val="clear"/>
            <w:tcMar>
              <w:top w:type="dxa" w:w="70"/>
              <w:left w:type="dxa" w:w="100"/>
              <w:bottom w:type="dxa" w:w="70"/>
              <w:right w:type="dxa" w:w="100"/>
            </w:tcMar>
            <w:vAlign w:val="center"/>
          </w:tcPr>
          <w:p>
            <w:r>
              <w:rPr>
                <w:color w:val="2A2520"/>
                <w:sz w:val="19"/>
                <w:szCs w:val="19"/>
              </w:rPr>
              <w:t xml:space="preserve">Vertriebler</w:t>
            </w:r>
          </w:p>
        </w:tc>
        <w:tc>
          <w:tcPr>
            <w:tcW w:type="dxa" w:w="2600"/>
            <w:shd w:fill="FFFFFF" w:val="clear"/>
            <w:tcMar>
              <w:top w:type="dxa" w:w="70"/>
              <w:left w:type="dxa" w:w="100"/>
              <w:bottom w:type="dxa" w:w="70"/>
              <w:right w:type="dxa" w:w="100"/>
            </w:tcMar>
            <w:vAlign w:val="center"/>
          </w:tcPr>
          <w:p>
            <w:r>
              <w:rPr>
                <w:color w:val="2A2520"/>
                <w:sz w:val="19"/>
                <w:szCs w:val="19"/>
              </w:rPr>
              <w:t xml:space="preserve">10 %</w:t>
            </w:r>
          </w:p>
        </w:tc>
        <w:tc>
          <w:tcPr>
            <w:tcW w:type="dxa" w:w="3200"/>
            <w:shd w:fill="FFFFFF" w:val="clear"/>
            <w:tcMar>
              <w:top w:type="dxa" w:w="70"/>
              <w:left w:type="dxa" w:w="100"/>
              <w:bottom w:type="dxa" w:w="70"/>
              <w:right w:type="dxa" w:w="100"/>
            </w:tcMar>
            <w:vAlign w:val="center"/>
          </w:tcPr>
          <w:p>
            <w:r>
              <w:rPr>
                <w:color w:val="2A2520"/>
                <w:sz w:val="19"/>
                <w:szCs w:val="19"/>
              </w:rPr>
              <w:t xml:space="preserve">Netto-Bestellwert der vermittelten Palette</w:t>
            </w:r>
          </w:p>
        </w:tc>
      </w:tr>
      <w:tr>
        <w:tc>
          <w:tcPr>
            <w:tcW w:type="dxa" w:w="3200"/>
            <w:shd w:fill="F6F1E7" w:val="clear"/>
            <w:tcMar>
              <w:top w:type="dxa" w:w="70"/>
              <w:left w:type="dxa" w:w="100"/>
              <w:bottom w:type="dxa" w:w="70"/>
              <w:right w:type="dxa" w:w="100"/>
            </w:tcMar>
            <w:vAlign w:val="center"/>
          </w:tcPr>
          <w:p>
            <w:r>
              <w:rPr>
                <w:color w:val="2A2520"/>
                <w:sz w:val="19"/>
                <w:szCs w:val="19"/>
              </w:rPr>
              <w:t xml:space="preserve">Plattform (IPT)</w:t>
            </w:r>
          </w:p>
        </w:tc>
        <w:tc>
          <w:tcPr>
            <w:tcW w:type="dxa" w:w="2600"/>
            <w:shd w:fill="F6F1E7" w:val="clear"/>
            <w:tcMar>
              <w:top w:type="dxa" w:w="70"/>
              <w:left w:type="dxa" w:w="100"/>
              <w:bottom w:type="dxa" w:w="70"/>
              <w:right w:type="dxa" w:w="100"/>
            </w:tcMar>
            <w:vAlign w:val="center"/>
          </w:tcPr>
          <w:p>
            <w:r>
              <w:rPr>
                <w:color w:val="2A2520"/>
                <w:sz w:val="19"/>
                <w:szCs w:val="19"/>
              </w:rPr>
              <w:t xml:space="preserve">5 %</w:t>
            </w:r>
          </w:p>
        </w:tc>
        <w:tc>
          <w:tcPr>
            <w:tcW w:type="dxa" w:w="3200"/>
            <w:shd w:fill="F6F1E7" w:val="clear"/>
            <w:tcMar>
              <w:top w:type="dxa" w:w="70"/>
              <w:left w:type="dxa" w:w="100"/>
              <w:bottom w:type="dxa" w:w="70"/>
              <w:right w:type="dxa" w:w="100"/>
            </w:tcMar>
            <w:vAlign w:val="center"/>
          </w:tcPr>
          <w:p>
            <w:r>
              <w:rPr>
                <w:color w:val="2A2520"/>
                <w:sz w:val="19"/>
                <w:szCs w:val="19"/>
              </w:rPr>
              <w:t xml:space="preserve">Netto-Bestellwert der Palette</w:t>
            </w:r>
          </w:p>
        </w:tc>
      </w:tr>
      <w:tr>
        <w:tc>
          <w:tcPr>
            <w:tcW w:type="dxa" w:w="3200"/>
            <w:shd w:fill="FFFFFF" w:val="clear"/>
            <w:tcMar>
              <w:top w:type="dxa" w:w="70"/>
              <w:left w:type="dxa" w:w="100"/>
              <w:bottom w:type="dxa" w:w="70"/>
              <w:right w:type="dxa" w:w="100"/>
            </w:tcMar>
            <w:vAlign w:val="center"/>
          </w:tcPr>
          <w:p>
            <w:r>
              <w:rPr>
                <w:color w:val="2A2520"/>
                <w:sz w:val="19"/>
                <w:szCs w:val="19"/>
              </w:rPr>
              <w:t xml:space="preserve">Winzer (verbleibt)</w:t>
            </w:r>
          </w:p>
        </w:tc>
        <w:tc>
          <w:tcPr>
            <w:tcW w:type="dxa" w:w="2600"/>
            <w:shd w:fill="FFFFFF" w:val="clear"/>
            <w:tcMar>
              <w:top w:type="dxa" w:w="70"/>
              <w:left w:type="dxa" w:w="100"/>
              <w:bottom w:type="dxa" w:w="70"/>
              <w:right w:type="dxa" w:w="100"/>
            </w:tcMar>
            <w:vAlign w:val="center"/>
          </w:tcPr>
          <w:p>
            <w:r>
              <w:rPr>
                <w:color w:val="2A2520"/>
                <w:sz w:val="19"/>
                <w:szCs w:val="19"/>
              </w:rPr>
              <w:t xml:space="preserve">85 %</w:t>
            </w:r>
          </w:p>
        </w:tc>
        <w:tc>
          <w:tcPr>
            <w:tcW w:type="dxa" w:w="3200"/>
            <w:shd w:fill="FFFFFF" w:val="clear"/>
            <w:tcMar>
              <w:top w:type="dxa" w:w="70"/>
              <w:left w:type="dxa" w:w="100"/>
              <w:bottom w:type="dxa" w:w="70"/>
              <w:right w:type="dxa" w:w="100"/>
            </w:tcMar>
            <w:vAlign w:val="center"/>
          </w:tcPr>
          <w:p>
            <w:r>
              <w:rPr>
                <w:color w:val="2A2520"/>
                <w:sz w:val="19"/>
                <w:szCs w:val="19"/>
              </w:rPr>
              <w:t xml:space="preserve">Netto-Bestellwert abzüglich beider Provisionen</w:t>
            </w:r>
          </w:p>
        </w:tc>
      </w:tr>
    </w:tbl>
    <w:p>
      <w:pPr>
        <w:spacing w:after="200" w:before="100"/>
      </w:pPr>
      <w:r>
        <w:rPr>
          <w:i/>
          <w:iCs/>
          <w:color w:val="857A68"/>
          <w:sz w:val="17"/>
          <w:szCs w:val="17"/>
        </w:rPr>
        <w:t xml:space="preserve">Vorschlag auf Basis marktüblicher Sätze im B2B-Weinvertrieb. Endgültige Festlegung mit den Winzern und ggf. Staffelung nach Bestellvolumen empfohlen.</w:t>
      </w:r>
    </w:p>
    <w:p>
      <w:pPr>
        <w:pStyle w:val="Heading2"/>
        <w:spacing w:after="140" w:before="320"/>
      </w:pPr>
      <w:r>
        <w:rPr>
          <w:b w:val="false"/>
          <w:bCs w:val="false"/>
          <w:i/>
          <w:iCs/>
          <w:color w:val="9C7A53"/>
          <w:sz w:val="24"/>
          <w:szCs w:val="24"/>
        </w:rPr>
        <w:t xml:space="preserve">8.3 Beispielrechnung</w:t>
      </w:r>
    </w:p>
    <w:p>
      <w:pPr>
        <w:spacing w:after="160" w:line="300"/>
      </w:pPr>
      <w:r>
        <w:rPr>
          <w:b w:val="false"/>
          <w:bCs w:val="false"/>
          <w:i w:val="false"/>
          <w:iCs w:val="false"/>
          <w:color w:val="2A2520"/>
        </w:rPr>
        <w:t xml:space="preserve">Eine Mischpalette mit 600 Flaschen bei einem angenommenen Platzhalter-Durchschnittspreis von 6,00 € je Flasche (Mix aus Basic- und höherwertigen Positionen):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2A2520" w:val="clear"/>
            <w:tcMar>
              <w:top w:type="dxa" w:w="80"/>
              <w:left w:type="dxa" w:w="100"/>
              <w:bottom w:type="dxa" w:w="80"/>
              <w:right w:type="dxa" w:w="100"/>
            </w:tcMar>
            <w:vAlign w:val="center"/>
          </w:tcPr>
          <w:p>
            <w:r>
              <w:rPr>
                <w:b/>
                <w:bCs/>
                <w:color w:val="FFFFFF"/>
                <w:sz w:val="19"/>
                <w:szCs w:val="19"/>
              </w:rPr>
              <w:t xml:space="preserve">Position</w:t>
            </w:r>
          </w:p>
        </w:tc>
        <w:tc>
          <w:tcPr>
            <w:tcW w:type="dxa" w:w="2400"/>
            <w:shd w:fill="2A2520" w:val="clear"/>
            <w:tcMar>
              <w:top w:type="dxa" w:w="80"/>
              <w:left w:type="dxa" w:w="100"/>
              <w:bottom w:type="dxa" w:w="80"/>
              <w:right w:type="dxa" w:w="100"/>
            </w:tcMar>
            <w:vAlign w:val="center"/>
          </w:tcPr>
          <w:p>
            <w:r>
              <w:rPr>
                <w:b/>
                <w:bCs/>
                <w:color w:val="FFFFFF"/>
                <w:sz w:val="19"/>
                <w:szCs w:val="19"/>
              </w:rPr>
              <w:t xml:space="preserve">Betrag</w:t>
            </w:r>
          </w:p>
        </w:tc>
        <w:tc>
          <w:tcPr>
            <w:tcW w:type="dxa" w:w="2400"/>
            <w:shd w:fill="2A2520" w:val="clear"/>
            <w:tcMar>
              <w:top w:type="dxa" w:w="80"/>
              <w:left w:type="dxa" w:w="100"/>
              <w:bottom w:type="dxa" w:w="80"/>
              <w:right w:type="dxa" w:w="100"/>
            </w:tcMar>
            <w:vAlign w:val="center"/>
          </w:tcPr>
          <w:p>
            <w:r>
              <w:rPr>
                <w:b/>
                <w:bCs/>
                <w:color w:val="FFFFFF"/>
                <w:sz w:val="19"/>
                <w:szCs w:val="19"/>
              </w:rPr>
              <w:t xml:space="preserve">Anteil</w:t>
            </w:r>
          </w:p>
        </w:tc>
      </w:tr>
      <w:tr>
        <w:tc>
          <w:tcPr>
            <w:tcW w:type="dxa" w:w="4200"/>
            <w:shd w:fill="FFFFFF" w:val="clear"/>
            <w:tcMar>
              <w:top w:type="dxa" w:w="70"/>
              <w:left w:type="dxa" w:w="100"/>
              <w:bottom w:type="dxa" w:w="70"/>
              <w:right w:type="dxa" w:w="100"/>
            </w:tcMar>
            <w:vAlign w:val="center"/>
          </w:tcPr>
          <w:p>
            <w:r>
              <w:rPr>
                <w:color w:val="2A2520"/>
                <w:sz w:val="19"/>
                <w:szCs w:val="19"/>
              </w:rPr>
              <w:t xml:space="preserve">Bestellwert (600 Flaschen × 6,00 €)</w:t>
            </w:r>
          </w:p>
        </w:tc>
        <w:tc>
          <w:tcPr>
            <w:tcW w:type="dxa" w:w="2400"/>
            <w:shd w:fill="FFFFFF" w:val="clear"/>
            <w:tcMar>
              <w:top w:type="dxa" w:w="70"/>
              <w:left w:type="dxa" w:w="100"/>
              <w:bottom w:type="dxa" w:w="70"/>
              <w:right w:type="dxa" w:w="100"/>
            </w:tcMar>
            <w:vAlign w:val="center"/>
          </w:tcPr>
          <w:p>
            <w:r>
              <w:rPr>
                <w:color w:val="2A2520"/>
                <w:sz w:val="19"/>
                <w:szCs w:val="19"/>
              </w:rPr>
              <w:t xml:space="preserve">3.600,00 €</w:t>
            </w:r>
          </w:p>
        </w:tc>
        <w:tc>
          <w:tcPr>
            <w:tcW w:type="dxa" w:w="2400"/>
            <w:shd w:fill="FFFFFF" w:val="clear"/>
            <w:tcMar>
              <w:top w:type="dxa" w:w="70"/>
              <w:left w:type="dxa" w:w="100"/>
              <w:bottom w:type="dxa" w:w="70"/>
              <w:right w:type="dxa" w:w="100"/>
            </w:tcMar>
            <w:vAlign w:val="center"/>
          </w:tcPr>
          <w:p>
            <w:r>
              <w:rPr>
                <w:color w:val="2A2520"/>
                <w:sz w:val="19"/>
                <w:szCs w:val="19"/>
              </w:rPr>
              <w:t xml:space="preserve">100 %</w:t>
            </w:r>
          </w:p>
        </w:tc>
      </w:tr>
      <w:tr>
        <w:tc>
          <w:tcPr>
            <w:tcW w:type="dxa" w:w="4200"/>
            <w:shd w:fill="F6F1E7" w:val="clear"/>
            <w:tcMar>
              <w:top w:type="dxa" w:w="70"/>
              <w:left w:type="dxa" w:w="100"/>
              <w:bottom w:type="dxa" w:w="70"/>
              <w:right w:type="dxa" w:w="100"/>
            </w:tcMar>
            <w:vAlign w:val="center"/>
          </w:tcPr>
          <w:p>
            <w:r>
              <w:rPr>
                <w:color w:val="2A2520"/>
                <w:sz w:val="19"/>
                <w:szCs w:val="19"/>
              </w:rPr>
              <w:t xml:space="preserve">Provision Vertriebler</w:t>
            </w:r>
          </w:p>
        </w:tc>
        <w:tc>
          <w:tcPr>
            <w:tcW w:type="dxa" w:w="2400"/>
            <w:shd w:fill="F6F1E7" w:val="clear"/>
            <w:tcMar>
              <w:top w:type="dxa" w:w="70"/>
              <w:left w:type="dxa" w:w="100"/>
              <w:bottom w:type="dxa" w:w="70"/>
              <w:right w:type="dxa" w:w="100"/>
            </w:tcMar>
            <w:vAlign w:val="center"/>
          </w:tcPr>
          <w:p>
            <w:r>
              <w:rPr>
                <w:color w:val="2A2520"/>
                <w:sz w:val="19"/>
                <w:szCs w:val="19"/>
              </w:rPr>
              <w:t xml:space="preserve">360,00 €</w:t>
            </w:r>
          </w:p>
        </w:tc>
        <w:tc>
          <w:tcPr>
            <w:tcW w:type="dxa" w:w="2400"/>
            <w:shd w:fill="F6F1E7" w:val="clear"/>
            <w:tcMar>
              <w:top w:type="dxa" w:w="70"/>
              <w:left w:type="dxa" w:w="100"/>
              <w:bottom w:type="dxa" w:w="70"/>
              <w:right w:type="dxa" w:w="100"/>
            </w:tcMar>
            <w:vAlign w:val="center"/>
          </w:tcPr>
          <w:p>
            <w:r>
              <w:rPr>
                <w:color w:val="2A2520"/>
                <w:sz w:val="19"/>
                <w:szCs w:val="19"/>
              </w:rPr>
              <w:t xml:space="preserve">10 %</w:t>
            </w:r>
          </w:p>
        </w:tc>
      </w:tr>
      <w:tr>
        <w:tc>
          <w:tcPr>
            <w:tcW w:type="dxa" w:w="4200"/>
            <w:shd w:fill="FFFFFF" w:val="clear"/>
            <w:tcMar>
              <w:top w:type="dxa" w:w="70"/>
              <w:left w:type="dxa" w:w="100"/>
              <w:bottom w:type="dxa" w:w="70"/>
              <w:right w:type="dxa" w:w="100"/>
            </w:tcMar>
            <w:vAlign w:val="center"/>
          </w:tcPr>
          <w:p>
            <w:r>
              <w:rPr>
                <w:color w:val="2A2520"/>
                <w:sz w:val="19"/>
                <w:szCs w:val="19"/>
              </w:rPr>
              <w:t xml:space="preserve">Provision Plattform</w:t>
            </w:r>
          </w:p>
        </w:tc>
        <w:tc>
          <w:tcPr>
            <w:tcW w:type="dxa" w:w="2400"/>
            <w:shd w:fill="FFFFFF" w:val="clear"/>
            <w:tcMar>
              <w:top w:type="dxa" w:w="70"/>
              <w:left w:type="dxa" w:w="100"/>
              <w:bottom w:type="dxa" w:w="70"/>
              <w:right w:type="dxa" w:w="100"/>
            </w:tcMar>
            <w:vAlign w:val="center"/>
          </w:tcPr>
          <w:p>
            <w:r>
              <w:rPr>
                <w:color w:val="2A2520"/>
                <w:sz w:val="19"/>
                <w:szCs w:val="19"/>
              </w:rPr>
              <w:t xml:space="preserve">180,00 €</w:t>
            </w:r>
          </w:p>
        </w:tc>
        <w:tc>
          <w:tcPr>
            <w:tcW w:type="dxa" w:w="2400"/>
            <w:shd w:fill="FFFFFF" w:val="clear"/>
            <w:tcMar>
              <w:top w:type="dxa" w:w="70"/>
              <w:left w:type="dxa" w:w="100"/>
              <w:bottom w:type="dxa" w:w="70"/>
              <w:right w:type="dxa" w:w="100"/>
            </w:tcMar>
            <w:vAlign w:val="center"/>
          </w:tcPr>
          <w:p>
            <w:r>
              <w:rPr>
                <w:color w:val="2A2520"/>
                <w:sz w:val="19"/>
                <w:szCs w:val="19"/>
              </w:rPr>
              <w:t xml:space="preserve">5 %</w:t>
            </w:r>
          </w:p>
        </w:tc>
      </w:tr>
      <w:tr>
        <w:tc>
          <w:tcPr>
            <w:tcW w:type="dxa" w:w="4200"/>
            <w:shd w:fill="F6F1E7" w:val="clear"/>
            <w:tcMar>
              <w:top w:type="dxa" w:w="70"/>
              <w:left w:type="dxa" w:w="100"/>
              <w:bottom w:type="dxa" w:w="70"/>
              <w:right w:type="dxa" w:w="100"/>
            </w:tcMar>
            <w:vAlign w:val="center"/>
          </w:tcPr>
          <w:p>
            <w:r>
              <w:rPr>
                <w:color w:val="2A2520"/>
                <w:sz w:val="19"/>
                <w:szCs w:val="19"/>
              </w:rPr>
              <w:t xml:space="preserve">Verbleib beim Winzer</w:t>
            </w:r>
          </w:p>
        </w:tc>
        <w:tc>
          <w:tcPr>
            <w:tcW w:type="dxa" w:w="2400"/>
            <w:shd w:fill="F6F1E7" w:val="clear"/>
            <w:tcMar>
              <w:top w:type="dxa" w:w="70"/>
              <w:left w:type="dxa" w:w="100"/>
              <w:bottom w:type="dxa" w:w="70"/>
              <w:right w:type="dxa" w:w="100"/>
            </w:tcMar>
            <w:vAlign w:val="center"/>
          </w:tcPr>
          <w:p>
            <w:r>
              <w:rPr>
                <w:color w:val="2A2520"/>
                <w:sz w:val="19"/>
                <w:szCs w:val="19"/>
              </w:rPr>
              <w:t xml:space="preserve">3.060,00 €</w:t>
            </w:r>
          </w:p>
        </w:tc>
        <w:tc>
          <w:tcPr>
            <w:tcW w:type="dxa" w:w="2400"/>
            <w:shd w:fill="F6F1E7" w:val="clear"/>
            <w:tcMar>
              <w:top w:type="dxa" w:w="70"/>
              <w:left w:type="dxa" w:w="100"/>
              <w:bottom w:type="dxa" w:w="70"/>
              <w:right w:type="dxa" w:w="100"/>
            </w:tcMar>
            <w:vAlign w:val="center"/>
          </w:tcPr>
          <w:p>
            <w:r>
              <w:rPr>
                <w:color w:val="2A2520"/>
                <w:sz w:val="19"/>
                <w:szCs w:val="19"/>
              </w:rPr>
              <w:t xml:space="preserve">85 %</w:t>
            </w:r>
          </w:p>
        </w:tc>
      </w:tr>
    </w:tbl>
    <w:p>
      <w:pPr>
        <w:spacing w:after="200" w:before="100"/>
      </w:pPr>
      <w:r>
        <w:rPr>
          <w:i/>
          <w:iCs/>
          <w:color w:val="857A68"/>
          <w:sz w:val="17"/>
          <w:szCs w:val="17"/>
        </w:rPr>
        <w:t xml:space="preserve">Reine Modellrechnung mit Platzhalterpreis. Reale Werte hängen vom tatsächlichen Sortimentsmix je Palette ab.</w:t>
      </w:r>
    </w:p>
    <w:p>
      <w:pPr>
        <w:pStyle w:val="Heading2"/>
        <w:spacing w:after="140" w:before="320"/>
      </w:pPr>
      <w:r>
        <w:rPr>
          <w:b w:val="false"/>
          <w:bCs w:val="false"/>
          <w:i/>
          <w:iCs/>
          <w:color w:val="9C7A53"/>
          <w:sz w:val="24"/>
          <w:szCs w:val="24"/>
        </w:rPr>
        <w:t xml:space="preserve">8.4 Abrechnungsprozess</w:t>
      </w:r>
    </w:p>
    <w:p>
      <w:pPr>
        <w:spacing w:after="160" w:line="300"/>
      </w:pPr>
      <w:r>
        <w:rPr>
          <w:b w:val="false"/>
          <w:bCs w:val="false"/>
          <w:i w:val="false"/>
          <w:iCs w:val="false"/>
          <w:color w:val="2A2520"/>
        </w:rPr>
        <w:t xml:space="preserve">Der Kunde zahlt per Vorkasse an den Winzer. Das System dokumentiert je Bestellung Bestellwert, Kunde, zuständigen Vertriebler und Winzer. Auf dieser Basis stellt der Plattformbetreiber dem Winzer periodisch (Vorschlag: monatlich) eine Provisionsrechnung; der Winzer wiederum vergütet den Vertriebler gemäß denselben Systemdaten – oder die Plattform übernimmt die Abrechnung beider Provisionen zentral, sofern vertraglich so vereinbart. Diese Ausgestaltung sollte im Partnervertrag mit den Winzern verbindlich geregelt werden.</w:t>
      </w:r>
    </w:p>
    <w:p>
      <w:r>
        <w:br w:type="page"/>
      </w:r>
    </w:p>
    <w:p>
      <w:pPr>
        <w:pStyle w:val="Heading1"/>
        <w:pBdr>
          <w:bottom w:val="single" w:color="9C7A53" w:sz="4" w:space="4"/>
        </w:pBdr>
        <w:spacing w:after="200" w:before="480"/>
      </w:pPr>
      <w:r>
        <w:rPr>
          <w:b w:val="false"/>
          <w:bCs w:val="false"/>
          <w:i/>
          <w:iCs/>
          <w:color w:val="2A2520"/>
          <w:sz w:val="30"/>
          <w:szCs w:val="30"/>
        </w:rPr>
        <w:t xml:space="preserve">9. Marketing &amp; Vertrieb</w:t>
      </w:r>
    </w:p>
    <w:p>
      <w:pPr>
        <w:pStyle w:val="Heading2"/>
        <w:spacing w:after="140" w:before="320"/>
      </w:pPr>
      <w:r>
        <w:rPr>
          <w:b w:val="false"/>
          <w:bCs w:val="false"/>
          <w:i/>
          <w:iCs/>
          <w:color w:val="9C7A53"/>
          <w:sz w:val="24"/>
          <w:szCs w:val="24"/>
        </w:rPr>
        <w:t xml:space="preserve">9.1 Bestehendes Vertriebler-Netzwerk als Startvorteil</w:t>
      </w:r>
    </w:p>
    <w:p>
      <w:pPr>
        <w:spacing w:after="160" w:line="300"/>
      </w:pPr>
      <w:r>
        <w:rPr>
          <w:b w:val="false"/>
          <w:bCs w:val="false"/>
          <w:i w:val="false"/>
          <w:iCs w:val="false"/>
          <w:color w:val="2A2520"/>
        </w:rPr>
        <w:t xml:space="preserve">IPT startet nicht bei null: Es besteht bereits ein belastbares Netzwerk an Vertrieblern, die aktiv in der Gastronomie unterwegs sind und dort seit Jahren Kundenbeziehungen pflegen. Die meisten von ihnen sind bereits selbstständig tätig und stellen ohnehin eigene Rechnungen – IPT fügt sich damit nahtlos in ihr bestehendes Geschäftsmodell ein, statt ein neues zu erfordern. Für diese Vertriebler ist die Aufnahme von IPT ins eigene Portfolio ein reiner Mehrwert: ein zusätzliches, hochwertiges Sortiment mit attraktiver Provision (10 %), ohne zusätzlichen administrativen Aufwand, da Bestellung, Provisionslogik und Katalog vollständig über die Plattform abgebildet werden.</w:t>
      </w:r>
    </w:p>
    <w:p>
      <w:pPr>
        <w:pStyle w:val="Heading2"/>
        <w:spacing w:after="140" w:before="320"/>
      </w:pPr>
      <w:r>
        <w:rPr>
          <w:b w:val="false"/>
          <w:bCs w:val="false"/>
          <w:i/>
          <w:iCs/>
          <w:color w:val="9C7A53"/>
          <w:sz w:val="24"/>
          <w:szCs w:val="24"/>
        </w:rPr>
        <w:t xml:space="preserve">9.2 Weiterer Ausbau des Netzwerks</w:t>
      </w:r>
    </w:p>
    <w:p>
      <w:pPr>
        <w:spacing w:after="160" w:line="300"/>
      </w:pPr>
      <w:r>
        <w:rPr>
          <w:b w:val="false"/>
          <w:bCs w:val="false"/>
          <w:i w:val="false"/>
          <w:iCs w:val="false"/>
          <w:color w:val="2A2520"/>
        </w:rPr>
        <w:t xml:space="preserve">Über das bestehende Netzwerk hinaus werden gezielt weitere selbstständige Handelsvertreter auf Provisionsbasis gewonnen (kein Fixgehalt seitens der Plattform), regional organisiert entlang der Zielgruppen Gastronomie, Fachhandel, Flughäfen und Konzerne. Rekrutierung z. B. über bestehende Kontakte in der Getränke- und Gastronomiebranche, Fachmessen und gezielte Ansprache erfahrener Weinvertreter.</w:t>
      </w:r>
    </w:p>
    <w:p>
      <w:pPr>
        <w:pStyle w:val="Heading2"/>
        <w:spacing w:after="140" w:before="320"/>
      </w:pPr>
      <w:r>
        <w:rPr>
          <w:b w:val="false"/>
          <w:bCs w:val="false"/>
          <w:i/>
          <w:iCs/>
          <w:color w:val="9C7A53"/>
          <w:sz w:val="24"/>
          <w:szCs w:val="24"/>
        </w:rPr>
        <w:t xml:space="preserve">9.3 Vertriebskanäle &amp; Partnerschaften</w:t>
      </w:r>
    </w:p>
    <w:p>
      <w:pPr>
        <w:pStyle w:val="ListParagraph"/>
        <w:numPr>
          <w:ilvl w:val="0"/>
          <w:numId w:val="2"/>
        </w:numPr>
        <w:spacing w:after="90" w:line="290"/>
      </w:pPr>
      <w:r>
        <w:rPr>
          <w:color w:val="2A2520"/>
        </w:rPr>
        <w:t xml:space="preserve">Persönlicher Verkauf durch Vertriebler, unterstützt durch Probeboxen und PDF-Katalog</w:t>
      </w:r>
    </w:p>
    <w:p>
      <w:pPr>
        <w:pStyle w:val="ListParagraph"/>
        <w:numPr>
          <w:ilvl w:val="0"/>
          <w:numId w:val="2"/>
        </w:numPr>
        <w:spacing w:after="90" w:line="290"/>
      </w:pPr>
      <w:r>
        <w:rPr>
          <w:color w:val="2A2520"/>
        </w:rPr>
        <w:t xml:space="preserve">Direktansprache von Gastronomie, Fachhandel, Importeuren, Flughäfen und Konzernen</w:t>
      </w:r>
    </w:p>
    <w:p>
      <w:pPr>
        <w:pStyle w:val="ListParagraph"/>
        <w:numPr>
          <w:ilvl w:val="0"/>
          <w:numId w:val="2"/>
        </w:numPr>
        <w:spacing w:after="90" w:line="290"/>
      </w:pPr>
      <w:r>
        <w:rPr>
          <w:color w:val="2A2520"/>
        </w:rPr>
        <w:t xml:space="preserve">Präsenz auf einschlägigen Fachmessen (z. B. ProWein Düsseldorf)</w:t>
      </w:r>
    </w:p>
    <w:p>
      <w:pPr>
        <w:pStyle w:val="ListParagraph"/>
        <w:numPr>
          <w:ilvl w:val="0"/>
          <w:numId w:val="2"/>
        </w:numPr>
        <w:spacing w:after="90" w:line="290"/>
      </w:pPr>
      <w:r>
        <w:rPr>
          <w:color w:val="2A2520"/>
        </w:rPr>
        <w:t xml:space="preserve">Content-Marketing: Winzer-Geschichten, Herkunfts-Storytelling, Social Media (Instagram/LinkedIn) mit Fokus auf die Menschen hinter den Weingütern</w:t>
      </w:r>
    </w:p>
    <w:p>
      <w:pPr>
        <w:pStyle w:val="ListParagraph"/>
        <w:numPr>
          <w:ilvl w:val="0"/>
          <w:numId w:val="2"/>
        </w:numPr>
        <w:spacing w:after="90" w:line="290"/>
      </w:pPr>
      <w:r>
        <w:rPr>
          <w:b/>
          <w:bCs/>
          <w:color w:val="2A2520"/>
        </w:rPr>
        <w:t xml:space="preserve">Kooperation mit Easy Sales: </w:t>
      </w:r>
      <w:r>
        <w:rPr>
          <w:color w:val="2A2520"/>
        </w:rPr>
        <w:t xml:space="preserve">Anbindung an die Marketingplattform Easy Sales, die Gastronomiebetriebe bei ihrem eigenen Marketing unterstützt – eine echte Symbiose: Gastronomen, die über Easy Sales erreicht werden, lernen IPT als Einkaufsquelle kennen, während IPT-Kunden von den Marketinglösungen für ihren eigenen Betrieb profitieren können.</w:t>
      </w:r>
    </w:p>
    <w:p>
      <w:pPr>
        <w:pStyle w:val="Heading2"/>
        <w:spacing w:after="140" w:before="320"/>
      </w:pPr>
      <w:r>
        <w:rPr>
          <w:b w:val="false"/>
          <w:bCs w:val="false"/>
          <w:i/>
          <w:iCs/>
          <w:color w:val="9C7A53"/>
          <w:sz w:val="24"/>
          <w:szCs w:val="24"/>
        </w:rPr>
        <w:t xml:space="preserve">9.4 Google-Optimierung &amp; KI-Sichtbarkeit</w:t>
      </w:r>
    </w:p>
    <w:p>
      <w:pPr>
        <w:spacing w:after="160" w:line="300"/>
      </w:pPr>
      <w:r>
        <w:rPr>
          <w:b w:val="false"/>
          <w:bCs w:val="false"/>
          <w:i w:val="false"/>
          <w:iCs w:val="false"/>
          <w:color w:val="2A2520"/>
        </w:rPr>
        <w:t xml:space="preserve">Parallel zum persönlichen Vertrieb setzt IPT von Beginn an auf konsequente Suchmaschinenoptimierung (SEO) und Sichtbarkeit in KI-basierten Suchassistenten (GEO/AI-Search-Optimierung) – beides organisch und ohne laufende Werbekosten. Das passt zum Grundgedanken der Plattform: ein bewusst kosteneffizientes Modell, gerade in wirtschaftlich angespannten Zeiten. Bezahlte Google-Ads-Kampagnen stehen als Hebel bereit, um das Wachstum bei Bedarf gezielt zu beschleunigen, sind für den Start aber nicht zwingend nötig. Auch nach einer möglichen Skalierung bleibt der organische SEO-/KI-Ansatz die tragende Säule der Kundengewinnung, da er dauerhaft niedrige Grenzkosten pro Neukunde ermöglicht.</w:t>
      </w:r>
    </w:p>
    <w:p>
      <w:pPr>
        <w:pStyle w:val="Heading2"/>
        <w:spacing w:after="140" w:before="320"/>
      </w:pPr>
      <w:r>
        <w:rPr>
          <w:b w:val="false"/>
          <w:bCs w:val="false"/>
          <w:i/>
          <w:iCs/>
          <w:color w:val="9C7A53"/>
          <w:sz w:val="24"/>
          <w:szCs w:val="24"/>
        </w:rPr>
        <w:t xml:space="preserve">9.5 Verkaufsunterstützung</w:t>
      </w:r>
    </w:p>
    <w:p>
      <w:pPr>
        <w:spacing w:after="160" w:line="300"/>
      </w:pPr>
      <w:r>
        <w:rPr>
          <w:b w:val="false"/>
          <w:bCs w:val="false"/>
          <w:i w:val="false"/>
          <w:iCs w:val="false"/>
          <w:color w:val="2A2520"/>
        </w:rPr>
        <w:t xml:space="preserve">Der PDF-Katalog-Export und die Probebox sind die zentralen Werkzeuge im persönlichen Verkaufsgespräch: Der Vertriebler kann vor Ort probieren lassen, sofort einen individuellen Katalog erzeugen und die Bestellung direkt im System anlegen.</w:t>
      </w:r>
    </w:p>
    <w:p>
      <w:r>
        <w:br w:type="page"/>
      </w:r>
    </w:p>
    <w:p>
      <w:pPr>
        <w:pStyle w:val="Heading1"/>
        <w:pBdr>
          <w:bottom w:val="single" w:color="9C7A53" w:sz="4" w:space="4"/>
        </w:pBdr>
        <w:spacing w:after="200" w:before="480"/>
      </w:pPr>
      <w:r>
        <w:rPr>
          <w:b w:val="false"/>
          <w:bCs w:val="false"/>
          <w:i/>
          <w:iCs/>
          <w:color w:val="2A2520"/>
          <w:sz w:val="30"/>
          <w:szCs w:val="30"/>
        </w:rPr>
        <w:t xml:space="preserve">10. Organisation &amp; Rollen</w:t>
      </w:r>
    </w:p>
    <w:p>
      <w:pPr>
        <w:pStyle w:val="ListParagraph"/>
        <w:numPr>
          <w:ilvl w:val="0"/>
          <w:numId w:val="2"/>
        </w:numPr>
        <w:spacing w:after="90" w:line="290"/>
      </w:pPr>
      <w:r>
        <w:rPr>
          <w:b/>
          <w:bCs/>
          <w:color w:val="2A2520"/>
        </w:rPr>
        <w:t xml:space="preserve">Gründer/Plattformbetreiber: </w:t>
      </w:r>
      <w:r>
        <w:rPr>
          <w:color w:val="2A2520"/>
        </w:rPr>
        <w:t xml:space="preserve">Stefano Granata – Konzept, Technologie/Provider, kaufmännische Steuerung, Vertragspartner der Winzer für die Provisionsvereinbarung.</w:t>
      </w:r>
    </w:p>
    <w:p>
      <w:pPr>
        <w:pStyle w:val="ListParagraph"/>
        <w:numPr>
          <w:ilvl w:val="0"/>
          <w:numId w:val="2"/>
        </w:numPr>
        <w:spacing w:after="90" w:line="290"/>
      </w:pPr>
      <w:r>
        <w:rPr>
          <w:b/>
          <w:bCs/>
          <w:color w:val="2A2520"/>
        </w:rPr>
        <w:t xml:space="preserve">Partnerweingüter: </w:t>
      </w:r>
      <w:r>
        <w:rPr>
          <w:color w:val="2A2520"/>
        </w:rPr>
        <w:t xml:space="preserve">Ferreri Vini (Sizilien) und Colutta (Friaul) – Produktion, Preiskalkulation je Flasche inkl. Transport, Rechnungsstellung an Kunden, Verpackung und Versand der Paletten.</w:t>
      </w:r>
    </w:p>
    <w:p>
      <w:pPr>
        <w:pStyle w:val="ListParagraph"/>
        <w:numPr>
          <w:ilvl w:val="0"/>
          <w:numId w:val="2"/>
        </w:numPr>
        <w:spacing w:after="90" w:line="290"/>
      </w:pPr>
      <w:r>
        <w:rPr>
          <w:b/>
          <w:bCs/>
          <w:color w:val="2A2520"/>
        </w:rPr>
        <w:t xml:space="preserve">Vertriebler: </w:t>
      </w:r>
      <w:r>
        <w:rPr>
          <w:color w:val="2A2520"/>
        </w:rPr>
        <w:t xml:space="preserve">Selbstständige Handelsvertreter auf Provisionsbasis, regionale Kundenbetreuung, Nutzung von Backend und (später) App.</w:t>
      </w:r>
    </w:p>
    <w:p>
      <w:pPr>
        <w:pStyle w:val="ListParagraph"/>
        <w:numPr>
          <w:ilvl w:val="0"/>
          <w:numId w:val="2"/>
        </w:numPr>
        <w:spacing w:after="90" w:line="290"/>
      </w:pPr>
      <w:r>
        <w:rPr>
          <w:b/>
          <w:bCs/>
          <w:color w:val="2A2520"/>
        </w:rPr>
        <w:t xml:space="preserve">Technischer Betrieb: </w:t>
      </w:r>
      <w:r>
        <w:rPr>
          <w:color w:val="2A2520"/>
        </w:rPr>
        <w:t xml:space="preserve">Hosting/Provider in eigener Kontrolle des Plattformbetreibers, um Datenhoheit und Markenkontrolle sicherzustellen.</w:t>
      </w:r>
    </w:p>
    <w:p>
      <w:pPr>
        <w:spacing w:after="160" w:line="300"/>
      </w:pPr>
      <w:r>
        <w:rPr>
          <w:b w:val="false"/>
          <w:bCs w:val="false"/>
          <w:i w:val="false"/>
          <w:iCs w:val="false"/>
          <w:color w:val="2A2520"/>
        </w:rPr>
        <w:t xml:space="preserve">Für den Start sind keine eigenen Mitarbeiter geplant; die Struktur ist bewusst schlank gehalten (Plattformbetreiber, Partnerwinzer, provisionsbasierte Vertriebler).</w:t>
      </w:r>
    </w:p>
    <w:p>
      <w:r>
        <w:br w:type="page"/>
      </w:r>
    </w:p>
    <w:p>
      <w:pPr>
        <w:pStyle w:val="Heading1"/>
        <w:pBdr>
          <w:bottom w:val="single" w:color="9C7A53" w:sz="4" w:space="4"/>
        </w:pBdr>
        <w:spacing w:after="200" w:before="480"/>
      </w:pPr>
      <w:r>
        <w:rPr>
          <w:b w:val="false"/>
          <w:bCs w:val="false"/>
          <w:i/>
          <w:iCs/>
          <w:color w:val="2A2520"/>
          <w:sz w:val="30"/>
          <w:szCs w:val="30"/>
        </w:rPr>
        <w:t xml:space="preserve">11. Investitions- und Finanzplanung</w:t>
      </w:r>
    </w:p>
    <w:p>
      <w:pPr>
        <w:spacing w:after="160" w:line="300"/>
      </w:pPr>
      <w:r>
        <w:rPr>
          <w:b w:val="false"/>
          <w:bCs w:val="false"/>
          <w:i w:val="false"/>
          <w:iCs w:val="false"/>
          <w:color w:val="2A2520"/>
        </w:rPr>
        <w:t xml:space="preserve">Wichtig vorab: Für die Winzer entsteht kein eigener Investitionsbedarf. Sie müssen weder in die Website noch in die App investieren – die Entwicklung liegt vollständig auf Seiten von IPT. Lediglich bei den laufenden Hosting-Kosten ist eine anteilige Beteiligung denkbar, das wird sich zeigen, sobald belastbare Zugriffszahlen vorliegen; die Größenordnung ist ohnehin gering. Unabhängig von der Investitionshöhe gilt: Schon allein die Marktpräsenz mit einer funktionierenden Plattform hat einen Wert – Sichtbarkeit, Anfragen und erste Referenzkunden lassen sich nur gewinnen, wenn man am Markt ist.</w:t>
      </w:r>
    </w:p>
    <w:p>
      <w:pPr>
        <w:pStyle w:val="Heading2"/>
        <w:spacing w:after="140" w:before="320"/>
      </w:pPr>
      <w:r>
        <w:rPr>
          <w:b w:val="false"/>
          <w:bCs w:val="false"/>
          <w:i/>
          <w:iCs/>
          <w:color w:val="9C7A53"/>
          <w:sz w:val="24"/>
          <w:szCs w:val="24"/>
        </w:rPr>
        <w:t xml:space="preserve">11.1 Einmalige Entwicklungskosten – Phase 1 (Website)</w:t>
      </w:r>
    </w:p>
    <w:p>
      <w:pPr>
        <w:spacing w:after="160" w:line="300"/>
      </w:pPr>
      <w:r>
        <w:rPr>
          <w:b w:val="false"/>
          <w:bCs w:val="false"/>
          <w:i w:val="false"/>
          <w:iCs w:val="false"/>
          <w:color w:val="2A2520"/>
        </w:rPr>
        <w:t xml:space="preserve">Die folgende Tabelle zeigt zur Einordnung, was die Entwicklung bei einer externen Agentur kosten würde. Da die Plattform von Stefano Granata selbst konzipiert und entwickelt wird, fällt dieser Betrag nicht als tatsächlicher Kapitalbedarf an, sondern ist als Eigenleistung des Gründers zu verstehen – die Zahlen dienen ausschließlich der Transparenz gegenüber den Winzern, damit sichtbar wird, welchen Marktwert die eingebrachte Leistung 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2A2520" w:val="clear"/>
            <w:tcMar>
              <w:top w:type="dxa" w:w="80"/>
              <w:left w:type="dxa" w:w="100"/>
              <w:bottom w:type="dxa" w:w="80"/>
              <w:right w:type="dxa" w:w="100"/>
            </w:tcMar>
            <w:vAlign w:val="center"/>
          </w:tcPr>
          <w:p>
            <w:r>
              <w:rPr>
                <w:b/>
                <w:bCs/>
                <w:color w:val="FFFFFF"/>
                <w:sz w:val="19"/>
                <w:szCs w:val="19"/>
              </w:rPr>
              <w:t xml:space="preserve">Position</w:t>
            </w:r>
          </w:p>
        </w:tc>
        <w:tc>
          <w:tcPr>
            <w:tcW w:type="dxa" w:w="2600"/>
            <w:shd w:fill="2A2520" w:val="clear"/>
            <w:tcMar>
              <w:top w:type="dxa" w:w="80"/>
              <w:left w:type="dxa" w:w="100"/>
              <w:bottom w:type="dxa" w:w="80"/>
              <w:right w:type="dxa" w:w="100"/>
            </w:tcMar>
            <w:vAlign w:val="center"/>
          </w:tcPr>
          <w:p>
            <w:r>
              <w:rPr>
                <w:b/>
                <w:bCs/>
                <w:color w:val="FFFFFF"/>
                <w:sz w:val="19"/>
                <w:szCs w:val="19"/>
              </w:rPr>
              <w:t xml:space="preserve">Marktüblicher Wert (Agentur)</w:t>
            </w:r>
          </w:p>
        </w:tc>
        <w:tc>
          <w:tcPr>
            <w:tcW w:type="dxa" w:w="1800"/>
            <w:shd w:fill="2A2520" w:val="clear"/>
            <w:tcMar>
              <w:top w:type="dxa" w:w="80"/>
              <w:left w:type="dxa" w:w="100"/>
              <w:bottom w:type="dxa" w:w="80"/>
              <w:right w:type="dxa" w:w="100"/>
            </w:tcMar>
            <w:vAlign w:val="center"/>
          </w:tcPr>
          <w:p>
            <w:r>
              <w:rPr>
                <w:b/>
                <w:bCs/>
                <w:color w:val="FFFFFF"/>
                <w:sz w:val="19"/>
                <w:szCs w:val="19"/>
              </w:rPr>
              <w:t xml:space="preserve">Hinweis</w:t>
            </w:r>
          </w:p>
        </w:tc>
      </w:tr>
      <w:tr>
        <w:tc>
          <w:tcPr>
            <w:tcW w:type="dxa" w:w="4600"/>
            <w:shd w:fill="FFFFFF" w:val="clear"/>
            <w:tcMar>
              <w:top w:type="dxa" w:w="70"/>
              <w:left w:type="dxa" w:w="100"/>
              <w:bottom w:type="dxa" w:w="70"/>
              <w:right w:type="dxa" w:w="100"/>
            </w:tcMar>
            <w:vAlign w:val="center"/>
          </w:tcPr>
          <w:p>
            <w:r>
              <w:rPr>
                <w:color w:val="2A2520"/>
                <w:sz w:val="19"/>
                <w:szCs w:val="19"/>
              </w:rPr>
              <w:t xml:space="preserve">Website-Entwicklung (B2B-Shop, Login, Palettenkonfigurator, Backend)</w:t>
            </w:r>
          </w:p>
        </w:tc>
        <w:tc>
          <w:tcPr>
            <w:tcW w:type="dxa" w:w="2600"/>
            <w:shd w:fill="FFFFFF" w:val="clear"/>
            <w:tcMar>
              <w:top w:type="dxa" w:w="70"/>
              <w:left w:type="dxa" w:w="100"/>
              <w:bottom w:type="dxa" w:w="70"/>
              <w:right w:type="dxa" w:w="100"/>
            </w:tcMar>
            <w:vAlign w:val="center"/>
          </w:tcPr>
          <w:p>
            <w:r>
              <w:rPr>
                <w:color w:val="2A2520"/>
                <w:sz w:val="19"/>
                <w:szCs w:val="19"/>
              </w:rPr>
              <w:t xml:space="preserve">18.000–28.000 €</w:t>
            </w:r>
          </w:p>
        </w:tc>
        <w:tc>
          <w:tcPr>
            <w:tcW w:type="dxa" w:w="1800"/>
            <w:shd w:fill="FFFFFF" w:val="clear"/>
            <w:tcMar>
              <w:top w:type="dxa" w:w="70"/>
              <w:left w:type="dxa" w:w="100"/>
              <w:bottom w:type="dxa" w:w="70"/>
              <w:right w:type="dxa" w:w="100"/>
            </w:tcMar>
            <w:vAlign w:val="center"/>
          </w:tcPr>
          <w:p>
            <w:r>
              <w:rPr>
                <w:color w:val="2A2520"/>
                <w:sz w:val="19"/>
                <w:szCs w:val="19"/>
              </w:rPr>
              <w:t xml:space="preserve">Kernplattform</w:t>
            </w:r>
          </w:p>
        </w:tc>
      </w:tr>
      <w:tr>
        <w:tc>
          <w:tcPr>
            <w:tcW w:type="dxa" w:w="4600"/>
            <w:shd w:fill="F6F1E7" w:val="clear"/>
            <w:tcMar>
              <w:top w:type="dxa" w:w="70"/>
              <w:left w:type="dxa" w:w="100"/>
              <w:bottom w:type="dxa" w:w="70"/>
              <w:right w:type="dxa" w:w="100"/>
            </w:tcMar>
            <w:vAlign w:val="center"/>
          </w:tcPr>
          <w:p>
            <w:r>
              <w:rPr>
                <w:color w:val="2A2520"/>
                <w:sz w:val="19"/>
                <w:szCs w:val="19"/>
              </w:rPr>
              <w:t xml:space="preserve">Etiketten-Designer (Upload/KI-Generierung, Live-Vorschau)</w:t>
            </w:r>
          </w:p>
        </w:tc>
        <w:tc>
          <w:tcPr>
            <w:tcW w:type="dxa" w:w="2600"/>
            <w:shd w:fill="F6F1E7" w:val="clear"/>
            <w:tcMar>
              <w:top w:type="dxa" w:w="70"/>
              <w:left w:type="dxa" w:w="100"/>
              <w:bottom w:type="dxa" w:w="70"/>
              <w:right w:type="dxa" w:w="100"/>
            </w:tcMar>
            <w:vAlign w:val="center"/>
          </w:tcPr>
          <w:p>
            <w:r>
              <w:rPr>
                <w:color w:val="2A2520"/>
                <w:sz w:val="19"/>
                <w:szCs w:val="19"/>
              </w:rPr>
              <w:t xml:space="preserve">5.000–8.000 €</w:t>
            </w:r>
          </w:p>
        </w:tc>
        <w:tc>
          <w:tcPr>
            <w:tcW w:type="dxa" w:w="1800"/>
            <w:shd w:fill="F6F1E7" w:val="clear"/>
            <w:tcMar>
              <w:top w:type="dxa" w:w="70"/>
              <w:left w:type="dxa" w:w="100"/>
              <w:bottom w:type="dxa" w:w="70"/>
              <w:right w:type="dxa" w:w="100"/>
            </w:tcMar>
            <w:vAlign w:val="center"/>
          </w:tcPr>
          <w:p>
            <w:r>
              <w:rPr>
                <w:color w:val="2A2520"/>
                <w:sz w:val="19"/>
                <w:szCs w:val="19"/>
              </w:rPr>
              <w:t xml:space="preserve">Teil-/Zusatzmodul</w:t>
            </w:r>
          </w:p>
        </w:tc>
      </w:tr>
      <w:tr>
        <w:tc>
          <w:tcPr>
            <w:tcW w:type="dxa" w:w="4600"/>
            <w:shd w:fill="FFFFFF" w:val="clear"/>
            <w:tcMar>
              <w:top w:type="dxa" w:w="70"/>
              <w:left w:type="dxa" w:w="100"/>
              <w:bottom w:type="dxa" w:w="70"/>
              <w:right w:type="dxa" w:w="100"/>
            </w:tcMar>
            <w:vAlign w:val="center"/>
          </w:tcPr>
          <w:p>
            <w:r>
              <w:rPr>
                <w:color w:val="2A2520"/>
                <w:sz w:val="19"/>
                <w:szCs w:val="19"/>
              </w:rPr>
              <w:t xml:space="preserve">KI-Chatbot-Integration</w:t>
            </w:r>
          </w:p>
        </w:tc>
        <w:tc>
          <w:tcPr>
            <w:tcW w:type="dxa" w:w="2600"/>
            <w:shd w:fill="FFFFFF" w:val="clear"/>
            <w:tcMar>
              <w:top w:type="dxa" w:w="70"/>
              <w:left w:type="dxa" w:w="100"/>
              <w:bottom w:type="dxa" w:w="70"/>
              <w:right w:type="dxa" w:w="100"/>
            </w:tcMar>
            <w:vAlign w:val="center"/>
          </w:tcPr>
          <w:p>
            <w:r>
              <w:rPr>
                <w:color w:val="2A2520"/>
                <w:sz w:val="19"/>
                <w:szCs w:val="19"/>
              </w:rPr>
              <w:t xml:space="preserve">2.000–4.000 €</w:t>
            </w:r>
          </w:p>
        </w:tc>
        <w:tc>
          <w:tcPr>
            <w:tcW w:type="dxa" w:w="1800"/>
            <w:shd w:fill="FFFFFF" w:val="clear"/>
            <w:tcMar>
              <w:top w:type="dxa" w:w="70"/>
              <w:left w:type="dxa" w:w="100"/>
              <w:bottom w:type="dxa" w:w="70"/>
              <w:right w:type="dxa" w:w="100"/>
            </w:tcMar>
            <w:vAlign w:val="center"/>
          </w:tcPr>
          <w:p>
            <w:r>
              <w:rPr>
                <w:color w:val="2A2520"/>
                <w:sz w:val="19"/>
                <w:szCs w:val="19"/>
              </w:rPr>
              <w:t xml:space="preserve">inkl. KI-Anbindung</w:t>
            </w:r>
          </w:p>
        </w:tc>
      </w:tr>
      <w:tr>
        <w:tc>
          <w:tcPr>
            <w:tcW w:type="dxa" w:w="4600"/>
            <w:shd w:fill="F6F1E7" w:val="clear"/>
            <w:tcMar>
              <w:top w:type="dxa" w:w="70"/>
              <w:left w:type="dxa" w:w="100"/>
              <w:bottom w:type="dxa" w:w="70"/>
              <w:right w:type="dxa" w:w="100"/>
            </w:tcMar>
            <w:vAlign w:val="center"/>
          </w:tcPr>
          <w:p>
            <w:r>
              <w:rPr>
                <w:color w:val="2A2520"/>
                <w:sz w:val="19"/>
                <w:szCs w:val="19"/>
              </w:rPr>
              <w:t xml:space="preserve">PDF-Katalog-Generator</w:t>
            </w:r>
          </w:p>
        </w:tc>
        <w:tc>
          <w:tcPr>
            <w:tcW w:type="dxa" w:w="2600"/>
            <w:shd w:fill="F6F1E7" w:val="clear"/>
            <w:tcMar>
              <w:top w:type="dxa" w:w="70"/>
              <w:left w:type="dxa" w:w="100"/>
              <w:bottom w:type="dxa" w:w="70"/>
              <w:right w:type="dxa" w:w="100"/>
            </w:tcMar>
            <w:vAlign w:val="center"/>
          </w:tcPr>
          <w:p>
            <w:r>
              <w:rPr>
                <w:color w:val="2A2520"/>
                <w:sz w:val="19"/>
                <w:szCs w:val="19"/>
              </w:rPr>
              <w:t xml:space="preserve">1.500–3.000 €</w:t>
            </w:r>
          </w:p>
        </w:tc>
        <w:tc>
          <w:tcPr>
            <w:tcW w:type="dxa" w:w="1800"/>
            <w:shd w:fill="F6F1E7" w:val="clear"/>
            <w:tcMar>
              <w:top w:type="dxa" w:w="70"/>
              <w:left w:type="dxa" w:w="100"/>
              <w:bottom w:type="dxa" w:w="70"/>
              <w:right w:type="dxa" w:w="100"/>
            </w:tcMar>
            <w:vAlign w:val="center"/>
          </w:tcPr>
          <w:p>
            <w:r>
              <w:rPr>
                <w:color w:val="2A2520"/>
                <w:sz w:val="19"/>
                <w:szCs w:val="19"/>
              </w:rPr>
              <w:t xml:space="preserve">Modul</w:t>
            </w:r>
          </w:p>
        </w:tc>
      </w:tr>
      <w:tr>
        <w:tc>
          <w:tcPr>
            <w:tcW w:type="dxa" w:w="4600"/>
            <w:shd w:fill="FFFFFF" w:val="clear"/>
            <w:tcMar>
              <w:top w:type="dxa" w:w="70"/>
              <w:left w:type="dxa" w:w="100"/>
              <w:bottom w:type="dxa" w:w="70"/>
              <w:right w:type="dxa" w:w="100"/>
            </w:tcMar>
            <w:vAlign w:val="center"/>
          </w:tcPr>
          <w:p>
            <w:r>
              <w:rPr>
                <w:color w:val="2A2520"/>
                <w:sz w:val="19"/>
                <w:szCs w:val="19"/>
              </w:rPr>
              <w:t xml:space="preserve">Design, Fotografie, Content (Winzer vor Ort)</w:t>
            </w:r>
          </w:p>
        </w:tc>
        <w:tc>
          <w:tcPr>
            <w:tcW w:type="dxa" w:w="2600"/>
            <w:shd w:fill="FFFFFF" w:val="clear"/>
            <w:tcMar>
              <w:top w:type="dxa" w:w="70"/>
              <w:left w:type="dxa" w:w="100"/>
              <w:bottom w:type="dxa" w:w="70"/>
              <w:right w:type="dxa" w:w="100"/>
            </w:tcMar>
            <w:vAlign w:val="center"/>
          </w:tcPr>
          <w:p>
            <w:r>
              <w:rPr>
                <w:color w:val="2A2520"/>
                <w:sz w:val="19"/>
                <w:szCs w:val="19"/>
              </w:rPr>
              <w:t xml:space="preserve">3.000–6.000 €</w:t>
            </w:r>
          </w:p>
        </w:tc>
        <w:tc>
          <w:tcPr>
            <w:tcW w:type="dxa" w:w="1800"/>
            <w:shd w:fill="FFFFFF" w:val="clear"/>
            <w:tcMar>
              <w:top w:type="dxa" w:w="70"/>
              <w:left w:type="dxa" w:w="100"/>
              <w:bottom w:type="dxa" w:w="70"/>
              <w:right w:type="dxa" w:w="100"/>
            </w:tcMar>
            <w:vAlign w:val="center"/>
          </w:tcPr>
          <w:p>
            <w:r>
              <w:rPr>
                <w:color w:val="2A2520"/>
                <w:sz w:val="19"/>
                <w:szCs w:val="19"/>
              </w:rPr>
              <w:t xml:space="preserve">inkl. Reise/Produktion</w:t>
            </w:r>
          </w:p>
        </w:tc>
      </w:tr>
      <w:tr>
        <w:tc>
          <w:tcPr>
            <w:tcW w:type="dxa" w:w="4600"/>
            <w:shd w:fill="F6F1E7" w:val="clear"/>
            <w:tcMar>
              <w:top w:type="dxa" w:w="70"/>
              <w:left w:type="dxa" w:w="100"/>
              <w:bottom w:type="dxa" w:w="70"/>
              <w:right w:type="dxa" w:w="100"/>
            </w:tcMar>
            <w:vAlign w:val="center"/>
          </w:tcPr>
          <w:p>
            <w:r>
              <w:rPr>
                <w:color w:val="2A2520"/>
                <w:sz w:val="19"/>
                <w:szCs w:val="19"/>
              </w:rPr>
              <w:t xml:space="preserve">Recht (Gründung, AGB, Verträge Winzer/Vertriebler, DSGVO)</w:t>
            </w:r>
          </w:p>
        </w:tc>
        <w:tc>
          <w:tcPr>
            <w:tcW w:type="dxa" w:w="2600"/>
            <w:shd w:fill="F6F1E7" w:val="clear"/>
            <w:tcMar>
              <w:top w:type="dxa" w:w="70"/>
              <w:left w:type="dxa" w:w="100"/>
              <w:bottom w:type="dxa" w:w="70"/>
              <w:right w:type="dxa" w:w="100"/>
            </w:tcMar>
            <w:vAlign w:val="center"/>
          </w:tcPr>
          <w:p>
            <w:r>
              <w:rPr>
                <w:color w:val="2A2520"/>
                <w:sz w:val="19"/>
                <w:szCs w:val="19"/>
              </w:rPr>
              <w:t xml:space="preserve">2.000–4.000 €</w:t>
            </w:r>
          </w:p>
        </w:tc>
        <w:tc>
          <w:tcPr>
            <w:tcW w:type="dxa" w:w="1800"/>
            <w:shd w:fill="F6F1E7" w:val="clear"/>
            <w:tcMar>
              <w:top w:type="dxa" w:w="70"/>
              <w:left w:type="dxa" w:w="100"/>
              <w:bottom w:type="dxa" w:w="70"/>
              <w:right w:type="dxa" w:w="100"/>
            </w:tcMar>
            <w:vAlign w:val="center"/>
          </w:tcPr>
          <w:p>
            <w:r>
              <w:rPr>
                <w:color w:val="2A2520"/>
                <w:sz w:val="19"/>
                <w:szCs w:val="19"/>
              </w:rPr>
              <w:t xml:space="preserve">Rechtsanwalt/Steuerberater</w:t>
            </w:r>
          </w:p>
        </w:tc>
      </w:tr>
      <w:tr>
        <w:tc>
          <w:tcPr>
            <w:tcW w:type="dxa" w:w="4600"/>
            <w:shd w:fill="FFFFFF" w:val="clear"/>
            <w:tcMar>
              <w:top w:type="dxa" w:w="70"/>
              <w:left w:type="dxa" w:w="100"/>
              <w:bottom w:type="dxa" w:w="70"/>
              <w:right w:type="dxa" w:w="100"/>
            </w:tcMar>
            <w:vAlign w:val="center"/>
          </w:tcPr>
          <w:p>
            <w:r>
              <w:rPr>
                <w:color w:val="2A2520"/>
                <w:sz w:val="19"/>
                <w:szCs w:val="19"/>
              </w:rPr>
              <w:t xml:space="preserve">Summe Phase 1 (Website)</w:t>
            </w:r>
          </w:p>
        </w:tc>
        <w:tc>
          <w:tcPr>
            <w:tcW w:type="dxa" w:w="2600"/>
            <w:shd w:fill="FFFFFF" w:val="clear"/>
            <w:tcMar>
              <w:top w:type="dxa" w:w="70"/>
              <w:left w:type="dxa" w:w="100"/>
              <w:bottom w:type="dxa" w:w="70"/>
              <w:right w:type="dxa" w:w="100"/>
            </w:tcMar>
            <w:vAlign w:val="center"/>
          </w:tcPr>
          <w:p>
            <w:r>
              <w:rPr>
                <w:color w:val="2A2520"/>
                <w:sz w:val="19"/>
                <w:szCs w:val="19"/>
              </w:rPr>
              <w:t xml:space="preserve">31.500–53.000 €</w:t>
            </w:r>
          </w:p>
        </w:tc>
        <w:tc>
          <w:tcPr>
            <w:tcW w:type="dxa" w:w="1800"/>
            <w:shd w:fill="FFFFFF" w:val="clear"/>
            <w:tcMar>
              <w:top w:type="dxa" w:w="70"/>
              <w:left w:type="dxa" w:w="100"/>
              <w:bottom w:type="dxa" w:w="70"/>
              <w:right w:type="dxa" w:w="100"/>
            </w:tcMar>
            <w:vAlign w:val="center"/>
          </w:tcPr>
          <w:p>
            <w:r>
              <w:rPr>
                <w:color w:val="2A2520"/>
                <w:sz w:val="19"/>
                <w:szCs w:val="19"/>
              </w:rPr>
              <w:t xml:space="preserve">als Eigenleistung erbracht, kein Kapitalbedarf der Winzer</w:t>
            </w:r>
          </w:p>
        </w:tc>
      </w:tr>
    </w:tbl>
    <w:p>
      <w:pPr>
        <w:pStyle w:val="Heading2"/>
        <w:spacing w:after="140" w:before="320"/>
      </w:pPr>
      <w:r>
        <w:rPr>
          <w:b w:val="false"/>
          <w:bCs w:val="false"/>
          <w:i/>
          <w:iCs/>
          <w:color w:val="9C7A53"/>
          <w:sz w:val="24"/>
          <w:szCs w:val="24"/>
        </w:rPr>
        <w:t xml:space="preserve">11.2 Einmalige Entwicklungskosten – Phase 2 (native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2A2520" w:val="clear"/>
            <w:tcMar>
              <w:top w:type="dxa" w:w="80"/>
              <w:left w:type="dxa" w:w="100"/>
              <w:bottom w:type="dxa" w:w="80"/>
              <w:right w:type="dxa" w:w="100"/>
            </w:tcMar>
            <w:vAlign w:val="center"/>
          </w:tcPr>
          <w:p>
            <w:r>
              <w:rPr>
                <w:b/>
                <w:bCs/>
                <w:color w:val="FFFFFF"/>
                <w:sz w:val="19"/>
                <w:szCs w:val="19"/>
              </w:rPr>
              <w:t xml:space="preserve">Position</w:t>
            </w:r>
          </w:p>
        </w:tc>
        <w:tc>
          <w:tcPr>
            <w:tcW w:type="dxa" w:w="2600"/>
            <w:shd w:fill="2A2520" w:val="clear"/>
            <w:tcMar>
              <w:top w:type="dxa" w:w="80"/>
              <w:left w:type="dxa" w:w="100"/>
              <w:bottom w:type="dxa" w:w="80"/>
              <w:right w:type="dxa" w:w="100"/>
            </w:tcMar>
            <w:vAlign w:val="center"/>
          </w:tcPr>
          <w:p>
            <w:r>
              <w:rPr>
                <w:b/>
                <w:bCs/>
                <w:color w:val="FFFFFF"/>
                <w:sz w:val="19"/>
                <w:szCs w:val="19"/>
              </w:rPr>
              <w:t xml:space="preserve">Marktüblicher Wert (Agentur)</w:t>
            </w:r>
          </w:p>
        </w:tc>
        <w:tc>
          <w:tcPr>
            <w:tcW w:type="dxa" w:w="1800"/>
            <w:shd w:fill="2A2520" w:val="clear"/>
            <w:tcMar>
              <w:top w:type="dxa" w:w="80"/>
              <w:left w:type="dxa" w:w="100"/>
              <w:bottom w:type="dxa" w:w="80"/>
              <w:right w:type="dxa" w:w="100"/>
            </w:tcMar>
            <w:vAlign w:val="center"/>
          </w:tcPr>
          <w:p>
            <w:r>
              <w:rPr>
                <w:b/>
                <w:bCs/>
                <w:color w:val="FFFFFF"/>
                <w:sz w:val="19"/>
                <w:szCs w:val="19"/>
              </w:rPr>
              <w:t xml:space="preserve">Hinweis</w:t>
            </w:r>
          </w:p>
        </w:tc>
      </w:tr>
      <w:tr>
        <w:tc>
          <w:tcPr>
            <w:tcW w:type="dxa" w:w="4600"/>
            <w:shd w:fill="FFFFFF" w:val="clear"/>
            <w:tcMar>
              <w:top w:type="dxa" w:w="70"/>
              <w:left w:type="dxa" w:w="100"/>
              <w:bottom w:type="dxa" w:w="70"/>
              <w:right w:type="dxa" w:w="100"/>
            </w:tcMar>
            <w:vAlign w:val="center"/>
          </w:tcPr>
          <w:p>
            <w:r>
              <w:rPr>
                <w:color w:val="2A2520"/>
                <w:sz w:val="19"/>
                <w:szCs w:val="19"/>
              </w:rPr>
              <w:t xml:space="preserve">App-Entwicklung iOS &amp; Android (Vertriebler-Fokus)</w:t>
            </w:r>
          </w:p>
        </w:tc>
        <w:tc>
          <w:tcPr>
            <w:tcW w:type="dxa" w:w="2600"/>
            <w:shd w:fill="FFFFFF" w:val="clear"/>
            <w:tcMar>
              <w:top w:type="dxa" w:w="70"/>
              <w:left w:type="dxa" w:w="100"/>
              <w:bottom w:type="dxa" w:w="70"/>
              <w:right w:type="dxa" w:w="100"/>
            </w:tcMar>
            <w:vAlign w:val="center"/>
          </w:tcPr>
          <w:p>
            <w:r>
              <w:rPr>
                <w:color w:val="2A2520"/>
                <w:sz w:val="19"/>
                <w:szCs w:val="19"/>
              </w:rPr>
              <w:t xml:space="preserve">20.000–35.000 €</w:t>
            </w:r>
          </w:p>
        </w:tc>
        <w:tc>
          <w:tcPr>
            <w:tcW w:type="dxa" w:w="1800"/>
            <w:shd w:fill="FFFFFF" w:val="clear"/>
            <w:tcMar>
              <w:top w:type="dxa" w:w="70"/>
              <w:left w:type="dxa" w:w="100"/>
              <w:bottom w:type="dxa" w:w="70"/>
              <w:right w:type="dxa" w:w="100"/>
            </w:tcMar>
            <w:vAlign w:val="center"/>
          </w:tcPr>
          <w:p>
            <w:r>
              <w:rPr>
                <w:color w:val="2A2520"/>
                <w:sz w:val="19"/>
                <w:szCs w:val="19"/>
              </w:rPr>
              <w:t xml:space="preserve">nach Website-Launch, ebenfalls Eigenleistung</w:t>
            </w:r>
          </w:p>
        </w:tc>
      </w:tr>
    </w:tbl>
    <w:p>
      <w:pPr>
        <w:pStyle w:val="Heading2"/>
        <w:spacing w:after="140" w:before="320"/>
      </w:pPr>
      <w:r>
        <w:rPr>
          <w:b w:val="false"/>
          <w:bCs w:val="false"/>
          <w:i/>
          <w:iCs/>
          <w:color w:val="9C7A53"/>
          <w:sz w:val="24"/>
          <w:szCs w:val="24"/>
        </w:rPr>
        <w:t xml:space="preserve">11.3 Laufende Kosten (monatlich, Platzhalter)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2A2520" w:val="clear"/>
            <w:tcMar>
              <w:top w:type="dxa" w:w="80"/>
              <w:left w:type="dxa" w:w="100"/>
              <w:bottom w:type="dxa" w:w="80"/>
              <w:right w:type="dxa" w:w="100"/>
            </w:tcMar>
            <w:vAlign w:val="center"/>
          </w:tcPr>
          <w:p>
            <w:r>
              <w:rPr>
                <w:b/>
                <w:bCs/>
                <w:color w:val="FFFFFF"/>
                <w:sz w:val="19"/>
                <w:szCs w:val="19"/>
              </w:rPr>
              <w:t xml:space="preserve">Position</w:t>
            </w:r>
          </w:p>
        </w:tc>
        <w:tc>
          <w:tcPr>
            <w:tcW w:type="dxa" w:w="2600"/>
            <w:shd w:fill="2A2520" w:val="clear"/>
            <w:tcMar>
              <w:top w:type="dxa" w:w="80"/>
              <w:left w:type="dxa" w:w="100"/>
              <w:bottom w:type="dxa" w:w="80"/>
              <w:right w:type="dxa" w:w="100"/>
            </w:tcMar>
            <w:vAlign w:val="center"/>
          </w:tcPr>
          <w:p>
            <w:r>
              <w:rPr>
                <w:b/>
                <w:bCs/>
                <w:color w:val="FFFFFF"/>
                <w:sz w:val="19"/>
                <w:szCs w:val="19"/>
              </w:rPr>
              <w:t xml:space="preserve">Geschätzte Kosten/Monat</w:t>
            </w:r>
          </w:p>
        </w:tc>
        <w:tc>
          <w:tcPr>
            <w:tcW w:type="dxa" w:w="1800"/>
            <w:shd w:fill="2A2520" w:val="clear"/>
            <w:tcMar>
              <w:top w:type="dxa" w:w="80"/>
              <w:left w:type="dxa" w:w="100"/>
              <w:bottom w:type="dxa" w:w="80"/>
              <w:right w:type="dxa" w:w="100"/>
            </w:tcMar>
            <w:vAlign w:val="center"/>
          </w:tcPr>
          <w:p>
            <w:r>
              <w:rPr>
                <w:b/>
                <w:bCs/>
                <w:color w:val="FFFFFF"/>
                <w:sz w:val="19"/>
                <w:szCs w:val="19"/>
              </w:rPr>
              <w:t xml:space="preserve">Hinweis</w:t>
            </w:r>
          </w:p>
        </w:tc>
      </w:tr>
      <w:tr>
        <w:tc>
          <w:tcPr>
            <w:tcW w:type="dxa" w:w="4600"/>
            <w:shd w:fill="FFFFFF" w:val="clear"/>
            <w:tcMar>
              <w:top w:type="dxa" w:w="70"/>
              <w:left w:type="dxa" w:w="100"/>
              <w:bottom w:type="dxa" w:w="70"/>
              <w:right w:type="dxa" w:w="100"/>
            </w:tcMar>
            <w:vAlign w:val="center"/>
          </w:tcPr>
          <w:p>
            <w:r>
              <w:rPr>
                <w:color w:val="2A2520"/>
                <w:sz w:val="19"/>
                <w:szCs w:val="19"/>
              </w:rPr>
              <w:t xml:space="preserve">Hosting/Server/Provider</w:t>
            </w:r>
          </w:p>
        </w:tc>
        <w:tc>
          <w:tcPr>
            <w:tcW w:type="dxa" w:w="2600"/>
            <w:shd w:fill="FFFFFF" w:val="clear"/>
            <w:tcMar>
              <w:top w:type="dxa" w:w="70"/>
              <w:left w:type="dxa" w:w="100"/>
              <w:bottom w:type="dxa" w:w="70"/>
              <w:right w:type="dxa" w:w="100"/>
            </w:tcMar>
            <w:vAlign w:val="center"/>
          </w:tcPr>
          <w:p>
            <w:r>
              <w:rPr>
                <w:color w:val="2A2520"/>
                <w:sz w:val="19"/>
                <w:szCs w:val="19"/>
              </w:rPr>
              <w:t xml:space="preserve">100–300 €</w:t>
            </w:r>
          </w:p>
        </w:tc>
        <w:tc>
          <w:tcPr>
            <w:tcW w:type="dxa" w:w="1800"/>
            <w:shd w:fill="FFFFFF" w:val="clear"/>
            <w:tcMar>
              <w:top w:type="dxa" w:w="70"/>
              <w:left w:type="dxa" w:w="100"/>
              <w:bottom w:type="dxa" w:w="70"/>
              <w:right w:type="dxa" w:w="100"/>
            </w:tcMar>
            <w:vAlign w:val="center"/>
          </w:tcPr>
          <w:p>
            <w:r>
              <w:rPr>
                <w:color w:val="2A2520"/>
                <w:sz w:val="19"/>
                <w:szCs w:val="19"/>
              </w:rPr>
              <w:t xml:space="preserve">wächst mit Zugriffszahlen; ggf. anteilige Winzer-Beteiligung, noch zu klären</w:t>
            </w:r>
          </w:p>
        </w:tc>
      </w:tr>
      <w:tr>
        <w:tc>
          <w:tcPr>
            <w:tcW w:type="dxa" w:w="4600"/>
            <w:shd w:fill="F6F1E7" w:val="clear"/>
            <w:tcMar>
              <w:top w:type="dxa" w:w="70"/>
              <w:left w:type="dxa" w:w="100"/>
              <w:bottom w:type="dxa" w:w="70"/>
              <w:right w:type="dxa" w:w="100"/>
            </w:tcMar>
            <w:vAlign w:val="center"/>
          </w:tcPr>
          <w:p>
            <w:r>
              <w:rPr>
                <w:color w:val="2A2520"/>
                <w:sz w:val="19"/>
                <w:szCs w:val="19"/>
              </w:rPr>
              <w:t xml:space="preserve">KI-Dienste (Chatbot, Etiketten-KI)</w:t>
            </w:r>
          </w:p>
        </w:tc>
        <w:tc>
          <w:tcPr>
            <w:tcW w:type="dxa" w:w="2600"/>
            <w:shd w:fill="F6F1E7" w:val="clear"/>
            <w:tcMar>
              <w:top w:type="dxa" w:w="70"/>
              <w:left w:type="dxa" w:w="100"/>
              <w:bottom w:type="dxa" w:w="70"/>
              <w:right w:type="dxa" w:w="100"/>
            </w:tcMar>
            <w:vAlign w:val="center"/>
          </w:tcPr>
          <w:p>
            <w:r>
              <w:rPr>
                <w:color w:val="2A2520"/>
                <w:sz w:val="19"/>
                <w:szCs w:val="19"/>
              </w:rPr>
              <w:t xml:space="preserve">100–400 €</w:t>
            </w:r>
          </w:p>
        </w:tc>
        <w:tc>
          <w:tcPr>
            <w:tcW w:type="dxa" w:w="1800"/>
            <w:shd w:fill="F6F1E7" w:val="clear"/>
            <w:tcMar>
              <w:top w:type="dxa" w:w="70"/>
              <w:left w:type="dxa" w:w="100"/>
              <w:bottom w:type="dxa" w:w="70"/>
              <w:right w:type="dxa" w:w="100"/>
            </w:tcMar>
            <w:vAlign w:val="center"/>
          </w:tcPr>
          <w:p>
            <w:r>
              <w:rPr>
                <w:color w:val="2A2520"/>
                <w:sz w:val="19"/>
                <w:szCs w:val="19"/>
              </w:rPr>
              <w:t xml:space="preserve">nutzungsabhängig</w:t>
            </w:r>
          </w:p>
        </w:tc>
      </w:tr>
      <w:tr>
        <w:tc>
          <w:tcPr>
            <w:tcW w:type="dxa" w:w="4600"/>
            <w:shd w:fill="FFFFFF" w:val="clear"/>
            <w:tcMar>
              <w:top w:type="dxa" w:w="70"/>
              <w:left w:type="dxa" w:w="100"/>
              <w:bottom w:type="dxa" w:w="70"/>
              <w:right w:type="dxa" w:w="100"/>
            </w:tcMar>
            <w:vAlign w:val="center"/>
          </w:tcPr>
          <w:p>
            <w:r>
              <w:rPr>
                <w:color w:val="2A2520"/>
                <w:sz w:val="19"/>
                <w:szCs w:val="19"/>
              </w:rPr>
              <w:t xml:space="preserve">Wartung/Weiterentwicklung</w:t>
            </w:r>
          </w:p>
        </w:tc>
        <w:tc>
          <w:tcPr>
            <w:tcW w:type="dxa" w:w="2600"/>
            <w:shd w:fill="FFFFFF" w:val="clear"/>
            <w:tcMar>
              <w:top w:type="dxa" w:w="70"/>
              <w:left w:type="dxa" w:w="100"/>
              <w:bottom w:type="dxa" w:w="70"/>
              <w:right w:type="dxa" w:w="100"/>
            </w:tcMar>
            <w:vAlign w:val="center"/>
          </w:tcPr>
          <w:p>
            <w:r>
              <w:rPr>
                <w:color w:val="2A2520"/>
                <w:sz w:val="19"/>
                <w:szCs w:val="19"/>
              </w:rPr>
              <w:t xml:space="preserve">500–1.500 €</w:t>
            </w:r>
          </w:p>
        </w:tc>
        <w:tc>
          <w:tcPr>
            <w:tcW w:type="dxa" w:w="1800"/>
            <w:shd w:fill="FFFFFF" w:val="clear"/>
            <w:tcMar>
              <w:top w:type="dxa" w:w="70"/>
              <w:left w:type="dxa" w:w="100"/>
              <w:bottom w:type="dxa" w:w="70"/>
              <w:right w:type="dxa" w:w="100"/>
            </w:tcMar>
            <w:vAlign w:val="center"/>
          </w:tcPr>
          <w:p>
            <w:r>
              <w:rPr>
                <w:color w:val="2A2520"/>
                <w:sz w:val="19"/>
                <w:szCs w:val="19"/>
              </w:rPr>
              <w:t xml:space="preserve">laufende Pflege, überwiegend Eigenleistung</w:t>
            </w:r>
          </w:p>
        </w:tc>
      </w:tr>
      <w:tr>
        <w:tc>
          <w:tcPr>
            <w:tcW w:type="dxa" w:w="4600"/>
            <w:shd w:fill="F6F1E7" w:val="clear"/>
            <w:tcMar>
              <w:top w:type="dxa" w:w="70"/>
              <w:left w:type="dxa" w:w="100"/>
              <w:bottom w:type="dxa" w:w="70"/>
              <w:right w:type="dxa" w:w="100"/>
            </w:tcMar>
            <w:vAlign w:val="center"/>
          </w:tcPr>
          <w:p>
            <w:r>
              <w:rPr>
                <w:color w:val="2A2520"/>
                <w:sz w:val="19"/>
                <w:szCs w:val="19"/>
              </w:rPr>
              <w:t xml:space="preserve">Marketing (SEO/KI-Sichtbarkeit organisch, Messen, Content)</w:t>
            </w:r>
          </w:p>
        </w:tc>
        <w:tc>
          <w:tcPr>
            <w:tcW w:type="dxa" w:w="2600"/>
            <w:shd w:fill="F6F1E7" w:val="clear"/>
            <w:tcMar>
              <w:top w:type="dxa" w:w="70"/>
              <w:left w:type="dxa" w:w="100"/>
              <w:bottom w:type="dxa" w:w="70"/>
              <w:right w:type="dxa" w:w="100"/>
            </w:tcMar>
            <w:vAlign w:val="center"/>
          </w:tcPr>
          <w:p>
            <w:r>
              <w:rPr>
                <w:color w:val="2A2520"/>
                <w:sz w:val="19"/>
                <w:szCs w:val="19"/>
              </w:rPr>
              <w:t xml:space="preserve">gering–variabel</w:t>
            </w:r>
          </w:p>
        </w:tc>
        <w:tc>
          <w:tcPr>
            <w:tcW w:type="dxa" w:w="1800"/>
            <w:shd w:fill="F6F1E7" w:val="clear"/>
            <w:tcMar>
              <w:top w:type="dxa" w:w="70"/>
              <w:left w:type="dxa" w:w="100"/>
              <w:bottom w:type="dxa" w:w="70"/>
              <w:right w:type="dxa" w:w="100"/>
            </w:tcMar>
            <w:vAlign w:val="center"/>
          </w:tcPr>
          <w:p>
            <w:r>
              <w:rPr>
                <w:color w:val="2A2520"/>
                <w:sz w:val="19"/>
                <w:szCs w:val="19"/>
              </w:rPr>
              <w:t xml:space="preserve">bewusst kosteneffizientes Modell, siehe Kapitel 9.4</w:t>
            </w:r>
          </w:p>
        </w:tc>
      </w:tr>
    </w:tbl>
    <w:p>
      <w:pPr>
        <w:pStyle w:val="Heading2"/>
        <w:spacing w:after="140" w:before="320"/>
      </w:pPr>
      <w:r>
        <w:rPr>
          <w:b w:val="false"/>
          <w:bCs w:val="false"/>
          <w:i/>
          <w:iCs/>
          <w:color w:val="9C7A53"/>
          <w:sz w:val="24"/>
          <w:szCs w:val="24"/>
        </w:rPr>
        <w:t xml:space="preserve">11.4 Umsatzprognose der Plattform (Provisionserlöse)</w:t>
      </w:r>
    </w:p>
    <w:p>
      <w:pPr>
        <w:spacing w:after="160" w:line="300"/>
      </w:pPr>
      <w:r>
        <w:rPr>
          <w:b w:val="false"/>
          <w:bCs w:val="false"/>
          <w:i w:val="false"/>
          <w:iCs w:val="false"/>
          <w:color w:val="2A2520"/>
        </w:rPr>
        <w:t xml:space="preserve">Basis der Rechnung: 600 Flaschen je Palette, Ø-Flaschenpreis 5,50 € (Bandbreite 5,00–6,00 € je nach Sortimentsmix aus Basic- und Premiumweinen sowie Olivenöl).</w:t>
      </w:r>
    </w:p>
    <w:p>
      <w:pPr>
        <w:spacing w:after="160" w:line="300"/>
      </w:pPr>
      <w:r>
        <w:rPr>
          <w:b w:val="false"/>
          <w:bCs w:val="false"/>
          <w:i w:val="false"/>
          <w:iCs w:val="false"/>
          <w:color w:val="2A2520"/>
        </w:rPr>
        <w:t xml:space="preserve">Beispielrechnung Jahr 1 (2027): 7 Paletten je Winzer × 2 Winzer = 14 Paletten im gesamten Jahr (realistisch auch etwas mehr). 14 Paletten × 600 Flaschen = 8.400 Flaschen × 5,50 € = 46.200 € Warenwert. Davon 5 % Plattformprovision = 2.310 € und 10 % Vertriebler-Provision = 4.620 €.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000"/>
      </w:tblGrid>
      <w:tr>
        <w:trPr>
          <w:tblHeader/>
        </w:trPr>
        <w:tc>
          <w:tcPr>
            <w:tcW w:type="dxa" w:w="2400"/>
            <w:shd w:fill="2A2520" w:val="clear"/>
            <w:tcMar>
              <w:top w:type="dxa" w:w="80"/>
              <w:left w:type="dxa" w:w="100"/>
              <w:bottom w:type="dxa" w:w="80"/>
              <w:right w:type="dxa" w:w="100"/>
            </w:tcMar>
            <w:vAlign w:val="center"/>
          </w:tcPr>
          <w:p>
            <w:r>
              <w:rPr>
                <w:b/>
                <w:bCs/>
                <w:color w:val="FFFFFF"/>
                <w:sz w:val="19"/>
                <w:szCs w:val="19"/>
              </w:rPr>
              <w:t xml:space="preserve">Jahr</w:t>
            </w:r>
          </w:p>
        </w:tc>
        <w:tc>
          <w:tcPr>
            <w:tcW w:type="dxa" w:w="2400"/>
            <w:shd w:fill="2A2520" w:val="clear"/>
            <w:tcMar>
              <w:top w:type="dxa" w:w="80"/>
              <w:left w:type="dxa" w:w="100"/>
              <w:bottom w:type="dxa" w:w="80"/>
              <w:right w:type="dxa" w:w="100"/>
            </w:tcMar>
            <w:vAlign w:val="center"/>
          </w:tcPr>
          <w:p>
            <w:r>
              <w:rPr>
                <w:b/>
                <w:bCs/>
                <w:color w:val="FFFFFF"/>
                <w:sz w:val="19"/>
                <w:szCs w:val="19"/>
              </w:rPr>
              <w:t xml:space="preserve">Paletten p. a.</w:t>
            </w:r>
          </w:p>
        </w:tc>
        <w:tc>
          <w:tcPr>
            <w:tcW w:type="dxa" w:w="2400"/>
            <w:shd w:fill="2A2520" w:val="clear"/>
            <w:tcMar>
              <w:top w:type="dxa" w:w="80"/>
              <w:left w:type="dxa" w:w="100"/>
              <w:bottom w:type="dxa" w:w="80"/>
              <w:right w:type="dxa" w:w="100"/>
            </w:tcMar>
            <w:vAlign w:val="center"/>
          </w:tcPr>
          <w:p>
            <w:r>
              <w:rPr>
                <w:b/>
                <w:bCs/>
                <w:color w:val="FFFFFF"/>
                <w:sz w:val="19"/>
                <w:szCs w:val="19"/>
              </w:rPr>
              <w:t xml:space="preserve">Warenwert p. a.</w:t>
            </w:r>
          </w:p>
        </w:tc>
        <w:tc>
          <w:tcPr>
            <w:tcW w:type="dxa" w:w="2000"/>
            <w:shd w:fill="2A2520" w:val="clear"/>
            <w:tcMar>
              <w:top w:type="dxa" w:w="80"/>
              <w:left w:type="dxa" w:w="100"/>
              <w:bottom w:type="dxa" w:w="80"/>
              <w:right w:type="dxa" w:w="100"/>
            </w:tcMar>
            <w:vAlign w:val="center"/>
          </w:tcPr>
          <w:p>
            <w:r>
              <w:rPr>
                <w:b/>
                <w:bCs/>
                <w:color w:val="FFFFFF"/>
                <w:sz w:val="19"/>
                <w:szCs w:val="19"/>
              </w:rPr>
              <w:t xml:space="preserve">Plattform-Provision p. a. (5 %)</w:t>
            </w:r>
          </w:p>
        </w:tc>
      </w:tr>
      <w:tr>
        <w:tc>
          <w:tcPr>
            <w:tcW w:type="dxa" w:w="2400"/>
            <w:shd w:fill="FFFFFF" w:val="clear"/>
            <w:tcMar>
              <w:top w:type="dxa" w:w="70"/>
              <w:left w:type="dxa" w:w="100"/>
              <w:bottom w:type="dxa" w:w="70"/>
              <w:right w:type="dxa" w:w="100"/>
            </w:tcMar>
            <w:vAlign w:val="center"/>
          </w:tcPr>
          <w:p>
            <w:r>
              <w:rPr>
                <w:color w:val="2A2520"/>
                <w:sz w:val="19"/>
                <w:szCs w:val="19"/>
              </w:rPr>
              <w:t xml:space="preserve">Jahr 1 – 2027 (Start, 7 Paletten je Winzer)</w:t>
            </w:r>
          </w:p>
        </w:tc>
        <w:tc>
          <w:tcPr>
            <w:tcW w:type="dxa" w:w="2400"/>
            <w:shd w:fill="FFFFFF" w:val="clear"/>
            <w:tcMar>
              <w:top w:type="dxa" w:w="70"/>
              <w:left w:type="dxa" w:w="100"/>
              <w:bottom w:type="dxa" w:w="70"/>
              <w:right w:type="dxa" w:w="100"/>
            </w:tcMar>
            <w:vAlign w:val="center"/>
          </w:tcPr>
          <w:p>
            <w:r>
              <w:rPr>
                <w:color w:val="2A2520"/>
                <w:sz w:val="19"/>
                <w:szCs w:val="19"/>
              </w:rPr>
              <w:t xml:space="preserve">≈ 14</w:t>
            </w:r>
          </w:p>
        </w:tc>
        <w:tc>
          <w:tcPr>
            <w:tcW w:type="dxa" w:w="2400"/>
            <w:shd w:fill="FFFFFF" w:val="clear"/>
            <w:tcMar>
              <w:top w:type="dxa" w:w="70"/>
              <w:left w:type="dxa" w:w="100"/>
              <w:bottom w:type="dxa" w:w="70"/>
              <w:right w:type="dxa" w:w="100"/>
            </w:tcMar>
            <w:vAlign w:val="center"/>
          </w:tcPr>
          <w:p>
            <w:r>
              <w:rPr>
                <w:color w:val="2A2520"/>
                <w:sz w:val="19"/>
                <w:szCs w:val="19"/>
              </w:rPr>
              <w:t xml:space="preserve">≈ 46.200 €</w:t>
            </w:r>
          </w:p>
        </w:tc>
        <w:tc>
          <w:tcPr>
            <w:tcW w:type="dxa" w:w="2000"/>
            <w:shd w:fill="FFFFFF" w:val="clear"/>
            <w:tcMar>
              <w:top w:type="dxa" w:w="70"/>
              <w:left w:type="dxa" w:w="100"/>
              <w:bottom w:type="dxa" w:w="70"/>
              <w:right w:type="dxa" w:w="100"/>
            </w:tcMar>
            <w:vAlign w:val="center"/>
          </w:tcPr>
          <w:p>
            <w:r>
              <w:rPr>
                <w:color w:val="2A2520"/>
                <w:sz w:val="19"/>
                <w:szCs w:val="19"/>
              </w:rPr>
              <w:t xml:space="preserve">≈ 2.310 €</w:t>
            </w:r>
          </w:p>
        </w:tc>
      </w:tr>
      <w:tr>
        <w:tc>
          <w:tcPr>
            <w:tcW w:type="dxa" w:w="2400"/>
            <w:shd w:fill="F6F1E7" w:val="clear"/>
            <w:tcMar>
              <w:top w:type="dxa" w:w="70"/>
              <w:left w:type="dxa" w:w="100"/>
              <w:bottom w:type="dxa" w:w="70"/>
              <w:right w:type="dxa" w:w="100"/>
            </w:tcMar>
            <w:vAlign w:val="center"/>
          </w:tcPr>
          <w:p>
            <w:r>
              <w:rPr>
                <w:color w:val="2A2520"/>
                <w:sz w:val="19"/>
                <w:szCs w:val="19"/>
              </w:rPr>
              <w:t xml:space="preserve">Jahr 2 – 2028 (Wachstum, 20 Paletten je Winzer)</w:t>
            </w:r>
          </w:p>
        </w:tc>
        <w:tc>
          <w:tcPr>
            <w:tcW w:type="dxa" w:w="2400"/>
            <w:shd w:fill="F6F1E7" w:val="clear"/>
            <w:tcMar>
              <w:top w:type="dxa" w:w="70"/>
              <w:left w:type="dxa" w:w="100"/>
              <w:bottom w:type="dxa" w:w="70"/>
              <w:right w:type="dxa" w:w="100"/>
            </w:tcMar>
            <w:vAlign w:val="center"/>
          </w:tcPr>
          <w:p>
            <w:r>
              <w:rPr>
                <w:color w:val="2A2520"/>
                <w:sz w:val="19"/>
                <w:szCs w:val="19"/>
              </w:rPr>
              <w:t xml:space="preserve">≈ 40</w:t>
            </w:r>
          </w:p>
        </w:tc>
        <w:tc>
          <w:tcPr>
            <w:tcW w:type="dxa" w:w="2400"/>
            <w:shd w:fill="F6F1E7" w:val="clear"/>
            <w:tcMar>
              <w:top w:type="dxa" w:w="70"/>
              <w:left w:type="dxa" w:w="100"/>
              <w:bottom w:type="dxa" w:w="70"/>
              <w:right w:type="dxa" w:w="100"/>
            </w:tcMar>
            <w:vAlign w:val="center"/>
          </w:tcPr>
          <w:p>
            <w:r>
              <w:rPr>
                <w:color w:val="2A2520"/>
                <w:sz w:val="19"/>
                <w:szCs w:val="19"/>
              </w:rPr>
              <w:t xml:space="preserve">≈ 132.000 €</w:t>
            </w:r>
          </w:p>
        </w:tc>
        <w:tc>
          <w:tcPr>
            <w:tcW w:type="dxa" w:w="2000"/>
            <w:shd w:fill="F6F1E7" w:val="clear"/>
            <w:tcMar>
              <w:top w:type="dxa" w:w="70"/>
              <w:left w:type="dxa" w:w="100"/>
              <w:bottom w:type="dxa" w:w="70"/>
              <w:right w:type="dxa" w:w="100"/>
            </w:tcMar>
            <w:vAlign w:val="center"/>
          </w:tcPr>
          <w:p>
            <w:r>
              <w:rPr>
                <w:color w:val="2A2520"/>
                <w:sz w:val="19"/>
                <w:szCs w:val="19"/>
              </w:rPr>
              <w:t xml:space="preserve">≈ 6.600 €</w:t>
            </w:r>
          </w:p>
        </w:tc>
      </w:tr>
      <w:tr>
        <w:tc>
          <w:tcPr>
            <w:tcW w:type="dxa" w:w="2400"/>
            <w:shd w:fill="FFFFFF" w:val="clear"/>
            <w:tcMar>
              <w:top w:type="dxa" w:w="70"/>
              <w:left w:type="dxa" w:w="100"/>
              <w:bottom w:type="dxa" w:w="70"/>
              <w:right w:type="dxa" w:w="100"/>
            </w:tcMar>
            <w:vAlign w:val="center"/>
          </w:tcPr>
          <w:p>
            <w:r>
              <w:rPr>
                <w:color w:val="2A2520"/>
                <w:sz w:val="19"/>
                <w:szCs w:val="19"/>
              </w:rPr>
              <w:t xml:space="preserve">Jahr 3 – 2029 (Zielgröße 15 Mischpaletten/Monat)</w:t>
            </w:r>
          </w:p>
        </w:tc>
        <w:tc>
          <w:tcPr>
            <w:tcW w:type="dxa" w:w="2400"/>
            <w:shd w:fill="FFFFFF" w:val="clear"/>
            <w:tcMar>
              <w:top w:type="dxa" w:w="70"/>
              <w:left w:type="dxa" w:w="100"/>
              <w:bottom w:type="dxa" w:w="70"/>
              <w:right w:type="dxa" w:w="100"/>
            </w:tcMar>
            <w:vAlign w:val="center"/>
          </w:tcPr>
          <w:p>
            <w:r>
              <w:rPr>
                <w:color w:val="2A2520"/>
                <w:sz w:val="19"/>
                <w:szCs w:val="19"/>
              </w:rPr>
              <w:t xml:space="preserve">≈ 180</w:t>
            </w:r>
          </w:p>
        </w:tc>
        <w:tc>
          <w:tcPr>
            <w:tcW w:type="dxa" w:w="2400"/>
            <w:shd w:fill="FFFFFF" w:val="clear"/>
            <w:tcMar>
              <w:top w:type="dxa" w:w="70"/>
              <w:left w:type="dxa" w:w="100"/>
              <w:bottom w:type="dxa" w:w="70"/>
              <w:right w:type="dxa" w:w="100"/>
            </w:tcMar>
            <w:vAlign w:val="center"/>
          </w:tcPr>
          <w:p>
            <w:r>
              <w:rPr>
                <w:color w:val="2A2520"/>
                <w:sz w:val="19"/>
                <w:szCs w:val="19"/>
              </w:rPr>
              <w:t xml:space="preserve">≈ 594.000 €</w:t>
            </w:r>
          </w:p>
        </w:tc>
        <w:tc>
          <w:tcPr>
            <w:tcW w:type="dxa" w:w="2000"/>
            <w:shd w:fill="FFFFFF" w:val="clear"/>
            <w:tcMar>
              <w:top w:type="dxa" w:w="70"/>
              <w:left w:type="dxa" w:w="100"/>
              <w:bottom w:type="dxa" w:w="70"/>
              <w:right w:type="dxa" w:w="100"/>
            </w:tcMar>
            <w:vAlign w:val="center"/>
          </w:tcPr>
          <w:p>
            <w:r>
              <w:rPr>
                <w:color w:val="2A2520"/>
                <w:sz w:val="19"/>
                <w:szCs w:val="19"/>
              </w:rPr>
              <w:t xml:space="preserve">≈ 29.700 €</w:t>
            </w:r>
          </w:p>
        </w:tc>
      </w:tr>
    </w:tbl>
    <w:p>
      <w:pPr>
        <w:spacing w:after="200" w:before="100"/>
      </w:pPr>
      <w:r>
        <w:rPr>
          <w:i/>
          <w:iCs/>
          <w:color w:val="857A68"/>
          <w:sz w:val="17"/>
          <w:szCs w:val="17"/>
        </w:rPr>
        <w:t xml:space="preserve">Reine Modellrechnung mit Platzhalterwerten; nicht als Umsatzzusage zu verstehen. Zum Vergleich: bei denselben Volumina erhalten Vertriebler in Summe 10 % (Jahr 1 ≈ 4.620 €, Jahr 3 ≈ 59.400 €, verteilt auf das gesamte Vertrieblernetzwerk).</w:t>
      </w:r>
    </w:p>
    <w:p>
      <w:pPr>
        <w:pStyle w:val="Heading2"/>
        <w:spacing w:after="140" w:before="320"/>
      </w:pPr>
      <w:r>
        <w:rPr>
          <w:b w:val="false"/>
          <w:bCs w:val="false"/>
          <w:i/>
          <w:iCs/>
          <w:color w:val="9C7A53"/>
          <w:sz w:val="24"/>
          <w:szCs w:val="24"/>
        </w:rPr>
        <w:t xml:space="preserve">11.5 Einordnung</w:t>
      </w:r>
    </w:p>
    <w:p>
      <w:pPr>
        <w:spacing w:after="160" w:line="300"/>
      </w:pPr>
      <w:r>
        <w:rPr>
          <w:b w:val="false"/>
          <w:bCs w:val="false"/>
          <w:i w:val="false"/>
          <w:iCs w:val="false"/>
          <w:color w:val="2A2520"/>
        </w:rPr>
        <w:t xml:space="preserve">Da die Entwicklungskosten als Eigenleistung erbracht werden, entsteht für die Winzer kein Investitionsrisiko – das unternehmerische Risiko liegt beim Plattformbetreiber. Für IPT selbst gilt: Die Plattform ist im Kern ein margenschlankes Vermittlungsmodell, das durch Volumen (mehr Vertriebler, mehr Winzer, mehr Länder) skaliert werden muss, um die eingebrachte Eigenleistung mittelfristig auch wirtschaftlich zu rechtfertigen. Bereits die Marktpräsenz ab Jahr 1 schafft jedoch Sichtbarkeit, erste Referenzen und Lerneffekte, die den weiteren Ausbau in Jahr 2 und 3 tragen.</w:t>
      </w:r>
    </w:p>
    <w:p>
      <w:r>
        <w:br w:type="page"/>
      </w:r>
    </w:p>
    <w:p>
      <w:pPr>
        <w:pStyle w:val="Heading1"/>
        <w:pBdr>
          <w:bottom w:val="single" w:color="9C7A53" w:sz="4" w:space="4"/>
        </w:pBdr>
        <w:spacing w:after="200" w:before="480"/>
      </w:pPr>
      <w:r>
        <w:rPr>
          <w:b w:val="false"/>
          <w:bCs w:val="false"/>
          <w:i/>
          <w:iCs/>
          <w:color w:val="2A2520"/>
          <w:sz w:val="30"/>
          <w:szCs w:val="30"/>
        </w:rPr>
        <w:t xml:space="preserve">12. Chancen &amp; Risiken</w:t>
      </w:r>
    </w:p>
    <w:p>
      <w:pPr>
        <w:pStyle w:val="Heading2"/>
        <w:spacing w:after="140" w:before="320"/>
      </w:pPr>
      <w:r>
        <w:rPr>
          <w:b w:val="false"/>
          <w:bCs w:val="false"/>
          <w:i/>
          <w:iCs/>
          <w:color w:val="9C7A53"/>
          <w:sz w:val="24"/>
          <w:szCs w:val="24"/>
        </w:rPr>
        <w:t xml:space="preserve">12.1 Chancen</w:t>
      </w:r>
    </w:p>
    <w:p>
      <w:pPr>
        <w:pStyle w:val="ListParagraph"/>
        <w:numPr>
          <w:ilvl w:val="0"/>
          <w:numId w:val="2"/>
        </w:numPr>
        <w:spacing w:after="90" w:line="290"/>
      </w:pPr>
      <w:r>
        <w:rPr>
          <w:color w:val="2A2520"/>
        </w:rPr>
        <w:t xml:space="preserve">Preissensibles Marktumfeld begünstigt ein Modell mit nachweisbarem Kostenvorteil</w:t>
      </w:r>
    </w:p>
    <w:p>
      <w:pPr>
        <w:pStyle w:val="ListParagraph"/>
        <w:numPr>
          <w:ilvl w:val="0"/>
          <w:numId w:val="2"/>
        </w:numPr>
        <w:spacing w:after="90" w:line="290"/>
      </w:pPr>
      <w:r>
        <w:rPr>
          <w:color w:val="2A2520"/>
        </w:rPr>
        <w:t xml:space="preserve">Skalierbarkeit durch Aufnahme weiterer Winzer und Länder ohne grundlegende Änderung des Plattformmodells</w:t>
      </w:r>
    </w:p>
    <w:p>
      <w:pPr>
        <w:pStyle w:val="ListParagraph"/>
        <w:numPr>
          <w:ilvl w:val="0"/>
          <w:numId w:val="2"/>
        </w:numPr>
        <w:spacing w:after="90" w:line="290"/>
      </w:pPr>
      <w:r>
        <w:rPr>
          <w:color w:val="2A2520"/>
        </w:rPr>
        <w:t xml:space="preserve">Private Label als zusätzliche, margenstarke Erlösquelle für Winzer und Kunden gleichermaßen attraktiv</w:t>
      </w:r>
    </w:p>
    <w:p>
      <w:pPr>
        <w:pStyle w:val="ListParagraph"/>
        <w:numPr>
          <w:ilvl w:val="0"/>
          <w:numId w:val="2"/>
        </w:numPr>
        <w:spacing w:after="90" w:line="290"/>
      </w:pPr>
      <w:r>
        <w:rPr>
          <w:color w:val="2A2520"/>
        </w:rPr>
        <w:t xml:space="preserve">Olivenöl als Cross-Selling-Produkt mit ähnlicher Logik wie Wein</w:t>
      </w:r>
    </w:p>
    <w:p>
      <w:pPr>
        <w:pStyle w:val="ListParagraph"/>
        <w:numPr>
          <w:ilvl w:val="0"/>
          <w:numId w:val="2"/>
        </w:numPr>
        <w:spacing w:after="90" w:line="290"/>
      </w:pPr>
      <w:r>
        <w:rPr>
          <w:color w:val="2A2520"/>
        </w:rPr>
        <w:t xml:space="preserve">Aufbau einer eigenen Marke mit Storytelling-Vorteil gegenüber anonymer Großhandelsware</w:t>
      </w:r>
    </w:p>
    <w:p>
      <w:pPr>
        <w:pStyle w:val="Heading2"/>
        <w:spacing w:after="140" w:before="320"/>
      </w:pPr>
      <w:r>
        <w:rPr>
          <w:b w:val="false"/>
          <w:bCs w:val="false"/>
          <w:i/>
          <w:iCs/>
          <w:color w:val="9C7A53"/>
          <w:sz w:val="24"/>
          <w:szCs w:val="24"/>
        </w:rPr>
        <w:t xml:space="preserve">12.2 Risiken</w:t>
      </w:r>
    </w:p>
    <w:p>
      <w:pPr>
        <w:pStyle w:val="ListParagraph"/>
        <w:numPr>
          <w:ilvl w:val="0"/>
          <w:numId w:val="2"/>
        </w:numPr>
        <w:spacing w:after="90" w:line="290"/>
      </w:pPr>
      <w:r>
        <w:rPr>
          <w:color w:val="2A2520"/>
        </w:rPr>
        <w:t xml:space="preserve">Konzentrationsrisiko: Zunächst nur zwei Winzer – Ausfall oder Kapazitätsengpass eines Partners wirkt sich stark aus</w:t>
      </w:r>
    </w:p>
    <w:p>
      <w:pPr>
        <w:pStyle w:val="ListParagraph"/>
        <w:numPr>
          <w:ilvl w:val="0"/>
          <w:numId w:val="2"/>
        </w:numPr>
        <w:spacing w:after="90" w:line="290"/>
      </w:pPr>
      <w:r>
        <w:rPr>
          <w:color w:val="2A2520"/>
        </w:rPr>
        <w:t xml:space="preserve">Logistik und Termintreue liegen beim Winzer, nicht im direkten Einflussbereich der Plattform – Qualitätssicherung im Partnervertrag verbindlich regeln</w:t>
      </w:r>
    </w:p>
    <w:p>
      <w:pPr>
        <w:pStyle w:val="ListParagraph"/>
        <w:numPr>
          <w:ilvl w:val="0"/>
          <w:numId w:val="2"/>
        </w:numPr>
        <w:spacing w:after="90" w:line="290"/>
      </w:pPr>
      <w:r>
        <w:rPr>
          <w:color w:val="2A2520"/>
        </w:rPr>
        <w:t xml:space="preserve">Zahlungsausfallrisiko liegt grundsätzlich beim Winzer (da dieser fakturiert), sollte aber im Provisionsvertrag klar geregelt sein (z. B. Provision erst nach Zahlungseingang)</w:t>
      </w:r>
    </w:p>
    <w:p>
      <w:pPr>
        <w:pStyle w:val="ListParagraph"/>
        <w:numPr>
          <w:ilvl w:val="0"/>
          <w:numId w:val="2"/>
        </w:numPr>
        <w:spacing w:after="90" w:line="290"/>
      </w:pPr>
      <w:r>
        <w:rPr>
          <w:color w:val="2A2520"/>
        </w:rPr>
        <w:t xml:space="preserve">Wettbewerb durch etablierte Großhändler, Importeure und andere Direktvertriebs-Plattformen</w:t>
      </w:r>
    </w:p>
    <w:p>
      <w:pPr>
        <w:pStyle w:val="ListParagraph"/>
        <w:numPr>
          <w:ilvl w:val="0"/>
          <w:numId w:val="2"/>
        </w:numPr>
        <w:spacing w:after="90" w:line="290"/>
      </w:pPr>
      <w:r>
        <w:rPr>
          <w:color w:val="2A2520"/>
        </w:rPr>
        <w:t xml:space="preserve">Technische Abhängigkeit von Drittanbietern für KI-Etikettengenerierung und Chatbot</w:t>
      </w:r>
    </w:p>
    <w:p>
      <w:pPr>
        <w:pStyle w:val="ListParagraph"/>
        <w:numPr>
          <w:ilvl w:val="0"/>
          <w:numId w:val="2"/>
        </w:numPr>
        <w:spacing w:after="90" w:line="290"/>
      </w:pPr>
      <w:r>
        <w:rPr>
          <w:color w:val="2A2520"/>
        </w:rPr>
        <w:t xml:space="preserve">Investitionskosten für Website/App sind signifikant im Verhältnis zur anfänglichen Provisionsmarge – Skalierung ist Voraussetzung für Wirtschaftlichkeit</w:t>
      </w:r>
    </w:p>
    <w:p>
      <w:r>
        <w:br w:type="page"/>
      </w:r>
    </w:p>
    <w:p>
      <w:pPr>
        <w:pStyle w:val="Heading1"/>
        <w:pBdr>
          <w:bottom w:val="single" w:color="9C7A53" w:sz="4" w:space="4"/>
        </w:pBdr>
        <w:spacing w:after="200" w:before="480"/>
      </w:pPr>
      <w:r>
        <w:rPr>
          <w:b w:val="false"/>
          <w:bCs w:val="false"/>
          <w:i/>
          <w:iCs/>
          <w:color w:val="2A2520"/>
          <w:sz w:val="30"/>
          <w:szCs w:val="30"/>
        </w:rPr>
        <w:t xml:space="preserve">13. Roadmap</w:t>
      </w:r>
    </w:p>
    <w:p>
      <w:pPr>
        <w:pStyle w:val="ListParagraph"/>
        <w:numPr>
          <w:ilvl w:val="0"/>
          <w:numId w:val="2"/>
        </w:numPr>
        <w:spacing w:after="90" w:line="290"/>
      </w:pPr>
      <w:r>
        <w:rPr>
          <w:b/>
          <w:bCs/>
          <w:color w:val="2A2520"/>
        </w:rPr>
        <w:t xml:space="preserve">Phase 1 – Konzept (aktuell): </w:t>
      </w:r>
      <w:r>
        <w:rPr>
          <w:color w:val="2A2520"/>
        </w:rPr>
        <w:t xml:space="preserve">Businessplan, Abstimmung mit beiden Winzern zu Preisen, Sortiment und Vertragswerk.</w:t>
      </w:r>
    </w:p>
    <w:p>
      <w:pPr>
        <w:pStyle w:val="ListParagraph"/>
        <w:numPr>
          <w:ilvl w:val="0"/>
          <w:numId w:val="2"/>
        </w:numPr>
        <w:spacing w:after="90" w:line="290"/>
      </w:pPr>
      <w:r>
        <w:rPr>
          <w:b/>
          <w:bCs/>
          <w:color w:val="2A2520"/>
        </w:rPr>
        <w:t xml:space="preserve">Phase 2 – Prototyp: </w:t>
      </w:r>
      <w:r>
        <w:rPr>
          <w:color w:val="2A2520"/>
        </w:rPr>
        <w:t xml:space="preserve">Klick-Dummy/Vorschau-Website zur Präsentation bei den Winzern, testweise auf einer WordPress-Subdomain.</w:t>
      </w:r>
    </w:p>
    <w:p>
      <w:pPr>
        <w:pStyle w:val="ListParagraph"/>
        <w:numPr>
          <w:ilvl w:val="0"/>
          <w:numId w:val="2"/>
        </w:numPr>
        <w:spacing w:after="90" w:line="290"/>
      </w:pPr>
      <w:r>
        <w:rPr>
          <w:b/>
          <w:bCs/>
          <w:color w:val="2A2520"/>
        </w:rPr>
        <w:t xml:space="preserve">Phase 3 – Vertragswerk: </w:t>
      </w:r>
      <w:r>
        <w:rPr>
          <w:color w:val="2A2520"/>
        </w:rPr>
        <w:t xml:space="preserve">Partnerverträge mit Winzern (Preise inkl. Transport, Provisionslogik, Haftung, Zahlungsabwicklung), Vertriebler-Vereinbarungen, AGB, Datenschutz.</w:t>
      </w:r>
    </w:p>
    <w:p>
      <w:pPr>
        <w:pStyle w:val="ListParagraph"/>
        <w:numPr>
          <w:ilvl w:val="0"/>
          <w:numId w:val="2"/>
        </w:numPr>
        <w:spacing w:after="90" w:line="290"/>
      </w:pPr>
      <w:r>
        <w:rPr>
          <w:b/>
          <w:bCs/>
          <w:color w:val="2A2520"/>
        </w:rPr>
        <w:t xml:space="preserve">Phase 4 – Entwicklung: </w:t>
      </w:r>
      <w:r>
        <w:rPr>
          <w:color w:val="2A2520"/>
        </w:rPr>
        <w:t xml:space="preserve">Aufbau der finalen Website: B2B-Shop, Mischpaletten-Konfigurator, Etiketten-Designer, Chatbot, PDF-Katalog, Vertriebler-Backend.</w:t>
      </w:r>
    </w:p>
    <w:p>
      <w:pPr>
        <w:pStyle w:val="ListParagraph"/>
        <w:numPr>
          <w:ilvl w:val="0"/>
          <w:numId w:val="2"/>
        </w:numPr>
        <w:spacing w:after="90" w:line="290"/>
      </w:pPr>
      <w:r>
        <w:rPr>
          <w:b/>
          <w:bCs/>
          <w:color w:val="2A2520"/>
        </w:rPr>
        <w:t xml:space="preserve">Phase 5 – Launch: </w:t>
      </w:r>
      <w:r>
        <w:rPr>
          <w:color w:val="2A2520"/>
        </w:rPr>
        <w:t xml:space="preserve">Markteinführung, Aufbau des Vertriebler-Netzwerks, erste Probeboxen und Palettenbestellungen.</w:t>
      </w:r>
    </w:p>
    <w:p>
      <w:pPr>
        <w:pStyle w:val="ListParagraph"/>
        <w:numPr>
          <w:ilvl w:val="0"/>
          <w:numId w:val="2"/>
        </w:numPr>
        <w:spacing w:after="90" w:line="290"/>
      </w:pPr>
      <w:r>
        <w:rPr>
          <w:b/>
          <w:bCs/>
          <w:color w:val="2A2520"/>
        </w:rPr>
        <w:t xml:space="preserve">Phase 6 – App: </w:t>
      </w:r>
      <w:r>
        <w:rPr>
          <w:color w:val="2A2520"/>
        </w:rPr>
        <w:t xml:space="preserve">Entwicklung und Launch der nativen App für Vertriebler; laufende Erweiterung um weitere Winzer/Länder.</w:t>
      </w:r>
    </w:p>
    <w:p>
      <w:r>
        <w:br w:type="page"/>
      </w:r>
    </w:p>
    <w:p>
      <w:pPr>
        <w:pStyle w:val="Heading1"/>
        <w:pBdr>
          <w:bottom w:val="single" w:color="9C7A53" w:sz="4" w:space="4"/>
        </w:pBdr>
        <w:spacing w:after="200" w:before="480"/>
      </w:pPr>
      <w:r>
        <w:rPr>
          <w:b w:val="false"/>
          <w:bCs w:val="false"/>
          <w:i/>
          <w:iCs/>
          <w:color w:val="2A2520"/>
          <w:sz w:val="30"/>
          <w:szCs w:val="30"/>
        </w:rPr>
        <w:t xml:space="preserve">14. Markenstudie: IPT — Name, Bedeutung und Gestaltungssprache</w:t>
      </w:r>
    </w:p>
    <w:p>
      <w:pPr>
        <w:pStyle w:val="Heading2"/>
        <w:spacing w:after="140" w:before="320"/>
      </w:pPr>
      <w:r>
        <w:rPr>
          <w:b w:val="false"/>
          <w:bCs w:val="false"/>
          <w:i/>
          <w:iCs/>
          <w:color w:val="9C7A53"/>
          <w:sz w:val="24"/>
          <w:szCs w:val="24"/>
        </w:rPr>
        <w:t xml:space="preserve">14.1 Der Name: IPT — Italy Pallet Trade</w:t>
      </w:r>
    </w:p>
    <w:p>
      <w:pPr>
        <w:spacing w:after="160" w:line="300"/>
      </w:pPr>
      <w:r>
        <w:rPr>
          <w:b w:val="false"/>
          <w:bCs w:val="false"/>
          <w:i w:val="false"/>
          <w:iCs w:val="false"/>
          <w:color w:val="2A2520"/>
        </w:rPr>
        <w:t xml:space="preserve">Der Name ist ein bewusst nüchternes, internationales Akronym statt eines gefälligen Wein-Namens ("Cantina …", "Vino …"). Er beschreibt exakt, was die Plattform ist, und trägt die Innovation des Geschäftsmodells im Namen selbst:</w:t>
      </w:r>
    </w:p>
    <w:p>
      <w:pPr>
        <w:pStyle w:val="ListParagraph"/>
        <w:numPr>
          <w:ilvl w:val="0"/>
          <w:numId w:val="2"/>
        </w:numPr>
        <w:spacing w:after="90" w:line="290"/>
      </w:pPr>
      <w:r>
        <w:rPr>
          <w:b/>
          <w:bCs/>
          <w:color w:val="2A2520"/>
        </w:rPr>
        <w:t xml:space="preserve">I — Italy: </w:t>
      </w:r>
      <w:r>
        <w:rPr>
          <w:color w:val="2A2520"/>
        </w:rPr>
        <w:t xml:space="preserve">die Herkunft: italienisches Handwerk, italienische Weingüter, italienisches Terroir als Qualitätsversprechen.</w:t>
      </w:r>
    </w:p>
    <w:p>
      <w:pPr>
        <w:pStyle w:val="ListParagraph"/>
        <w:numPr>
          <w:ilvl w:val="0"/>
          <w:numId w:val="2"/>
        </w:numPr>
        <w:spacing w:after="90" w:line="290"/>
      </w:pPr>
      <w:r>
        <w:rPr>
          <w:b/>
          <w:bCs/>
          <w:color w:val="2A2520"/>
        </w:rPr>
        <w:t xml:space="preserve">P — Pallet: </w:t>
      </w:r>
      <w:r>
        <w:rPr>
          <w:color w:val="2A2520"/>
        </w:rPr>
        <w:t xml:space="preserve">die eigentliche Innovation des Geschäftsmodells: Die Palette (600 Flaschen) ist die Handelseinheit, die den direkten Weg vom Weingut zum Fachhandel überhaupt erst möglich macht – der Name benennt selbstbewusst das Kernprinzip, statt es zu verstecken.</w:t>
      </w:r>
    </w:p>
    <w:p>
      <w:pPr>
        <w:pStyle w:val="ListParagraph"/>
        <w:numPr>
          <w:ilvl w:val="0"/>
          <w:numId w:val="2"/>
        </w:numPr>
        <w:spacing w:after="90" w:line="290"/>
      </w:pPr>
      <w:r>
        <w:rPr>
          <w:b/>
          <w:bCs/>
          <w:color w:val="2A2520"/>
        </w:rPr>
        <w:t xml:space="preserve">T — Trade: </w:t>
      </w:r>
      <w:r>
        <w:rPr>
          <w:color w:val="2A2520"/>
        </w:rPr>
        <w:t xml:space="preserve">die klare B2B-Positionierung: eine Handelsplattform für Profis, kein Konsumenten-Shop.</w:t>
      </w:r>
    </w:p>
    <w:p>
      <w:pPr>
        <w:spacing w:after="160" w:line="300"/>
      </w:pPr>
      <w:r>
        <w:rPr>
          <w:b w:val="false"/>
          <w:bCs w:val="false"/>
          <w:i w:val="false"/>
          <w:iCs w:val="false"/>
          <w:color w:val="2A2520"/>
        </w:rPr>
        <w:t xml:space="preserve">Diese Sachlichkeit ist Teil der Markenaussage: IPT tritt nicht als weiteres romantisiertes Weinlabel auf, sondern als seriöser, spezialisierter Handelspartner – was gerade im Gespräch mit Einkäufern aus Gastronomie, Fachhandel, Konzernen und Flughäfen Vertrauen schafft.</w:t>
      </w:r>
    </w:p>
    <w:p>
      <w:pPr>
        <w:pStyle w:val="Heading2"/>
        <w:spacing w:after="140" w:before="320"/>
      </w:pPr>
      <w:r>
        <w:rPr>
          <w:b w:val="false"/>
          <w:bCs w:val="false"/>
          <w:i/>
          <w:iCs/>
          <w:color w:val="9C7A53"/>
          <w:sz w:val="24"/>
          <w:szCs w:val="24"/>
        </w:rPr>
        <w:t xml:space="preserve">14.2 Positionierung: Preisvorteil, ohne „billig“ zu wirken</w:t>
      </w:r>
    </w:p>
    <w:p>
      <w:pPr>
        <w:spacing w:after="160" w:line="300"/>
      </w:pPr>
      <w:r>
        <w:rPr>
          <w:b w:val="false"/>
          <w:bCs w:val="false"/>
          <w:i w:val="false"/>
          <w:iCs w:val="false"/>
          <w:color w:val="2A2520"/>
        </w:rPr>
        <w:t xml:space="preserve">Das Geschäftsmodell lebt von einem echten Kostenvorteil (kein Großhandel, keine Lager- und Personalkosten). Dieser Vorteil darf in der Kommunikation jedoch nie wie ein Rabatt- oder Discount-Versprechen wirken – das würde dem Qualitätsanspruch der Partnerweingüter widersprechen und genau die Kundengruppen abschrecken, die IPT gewinnen will (Gastronomie, Fachhandel, Konzerne, Flughäfen). Die Lösung liegt in der Erzählung: Nicht „billiger Wein“, sondern „der direkte, unverstellte Weg zum Erzeuger“ – Direktheit als Zeichen von Kennerschaft, nicht von Sparzwang.</w:t>
      </w:r>
    </w:p>
    <w:p>
      <w:pPr>
        <w:pStyle w:val="Heading2"/>
        <w:spacing w:after="140" w:before="320"/>
      </w:pPr>
      <w:r>
        <w:rPr>
          <w:b w:val="false"/>
          <w:bCs w:val="false"/>
          <w:i/>
          <w:iCs/>
          <w:color w:val="9C7A53"/>
          <w:sz w:val="24"/>
          <w:szCs w:val="24"/>
        </w:rPr>
        <w:t xml:space="preserve">14.3 Gestaltungssprache: Referenz Loro Piana / Brunello Cucinelli</w:t>
      </w:r>
    </w:p>
    <w:p>
      <w:pPr>
        <w:spacing w:after="160" w:line="300"/>
      </w:pPr>
      <w:r>
        <w:rPr>
          <w:b w:val="false"/>
          <w:bCs w:val="false"/>
          <w:i w:val="false"/>
          <w:iCs w:val="false"/>
          <w:color w:val="2A2520"/>
        </w:rPr>
        <w:t xml:space="preserve">Diese Positionierung wird visuell durch eine zurückhaltende, hochwertige Designsprache getragen, wie sie italienische „Quiet-Luxury“-Marken wie Loro Piana oder Brunello Cucinelli prägen. Beide Marken kommunizieren Handwerkskunst und Materialqualität ohne laute Logos, Rabatt-Optik oder grelle Farben – exakt jene Werte, die auch für Familienweingüter mit jahrzehntelanger Tradition gelten.</w:t>
      </w:r>
    </w:p>
    <w:p>
      <w:pPr>
        <w:pStyle w:val="ListParagraph"/>
        <w:numPr>
          <w:ilvl w:val="0"/>
          <w:numId w:val="2"/>
        </w:numPr>
        <w:spacing w:after="90" w:line="290"/>
      </w:pPr>
      <w:r>
        <w:rPr>
          <w:color w:val="2A2520"/>
        </w:rPr>
        <w:t xml:space="preserve">Gedeckte, warme Naturtöne statt kräftiger Wein-Rot/Gold-Klischees</w:t>
      </w:r>
    </w:p>
    <w:p>
      <w:pPr>
        <w:pStyle w:val="ListParagraph"/>
        <w:numPr>
          <w:ilvl w:val="0"/>
          <w:numId w:val="2"/>
        </w:numPr>
        <w:spacing w:after="90" w:line="290"/>
      </w:pPr>
      <w:r>
        <w:rPr>
          <w:color w:val="2A2520"/>
        </w:rPr>
        <w:t xml:space="preserve">Großzügiger Weißraum statt dicht gepackter Verkaufsflächen</w:t>
      </w:r>
    </w:p>
    <w:p>
      <w:pPr>
        <w:pStyle w:val="ListParagraph"/>
        <w:numPr>
          <w:ilvl w:val="0"/>
          <w:numId w:val="2"/>
        </w:numPr>
        <w:spacing w:after="90" w:line="290"/>
      </w:pPr>
      <w:r>
        <w:rPr>
          <w:color w:val="2A2520"/>
        </w:rPr>
        <w:t xml:space="preserve">Feine Serifenschrift für Überschriften, zurückhaltende Versal-Typografie mit weiter Laufweite für Navigation und Funktionselemente</w:t>
      </w:r>
    </w:p>
    <w:p>
      <w:pPr>
        <w:pStyle w:val="ListParagraph"/>
        <w:numPr>
          <w:ilvl w:val="0"/>
          <w:numId w:val="2"/>
        </w:numPr>
        <w:spacing w:after="90" w:line="290"/>
      </w:pPr>
      <w:r>
        <w:rPr>
          <w:color w:val="2A2520"/>
        </w:rPr>
        <w:t xml:space="preserve">Dünne Trennlinien statt Schatten, Rahmen oder bunter Buttons</w:t>
      </w:r>
    </w:p>
    <w:p>
      <w:pPr>
        <w:pStyle w:val="ListParagraph"/>
        <w:numPr>
          <w:ilvl w:val="0"/>
          <w:numId w:val="2"/>
        </w:numPr>
        <w:spacing w:after="90" w:line="290"/>
      </w:pPr>
      <w:r>
        <w:rPr>
          <w:color w:val="2A2520"/>
        </w:rPr>
        <w:t xml:space="preserve">Ein einziger, dezenter Akzentton statt vieler Signalfarben — keine grellen Rabatt-Badges</w:t>
      </w:r>
    </w:p>
    <w:p>
      <w:pPr>
        <w:pStyle w:val="ListParagraph"/>
        <w:numPr>
          <w:ilvl w:val="0"/>
          <w:numId w:val="2"/>
        </w:numPr>
        <w:spacing w:after="90" w:line="290"/>
      </w:pPr>
      <w:r>
        <w:rPr>
          <w:color w:val="2A2520"/>
        </w:rPr>
        <w:t xml:space="preserve">Großformatige, ruhige Fotografie der Weingüter statt Stock-Bildsprache</w:t>
      </w:r>
    </w:p>
    <w:p>
      <w:pPr>
        <w:pStyle w:val="Heading2"/>
        <w:spacing w:after="140" w:before="320"/>
      </w:pPr>
      <w:r>
        <w:rPr>
          <w:b w:val="false"/>
          <w:bCs w:val="false"/>
          <w:i/>
          <w:iCs/>
          <w:color w:val="9C7A53"/>
          <w:sz w:val="24"/>
          <w:szCs w:val="24"/>
        </w:rPr>
        <w:t xml:space="preserve">14.4 Farbpalette und Bedeutung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2A2520" w:val="clear"/>
            <w:tcMar>
              <w:top w:type="dxa" w:w="80"/>
              <w:left w:type="dxa" w:w="100"/>
              <w:bottom w:type="dxa" w:w="80"/>
              <w:right w:type="dxa" w:w="100"/>
            </w:tcMar>
            <w:vAlign w:val="center"/>
          </w:tcPr>
          <w:p>
            <w:r>
              <w:rPr>
                <w:b/>
                <w:bCs/>
                <w:color w:val="FFFFFF"/>
                <w:sz w:val="19"/>
                <w:szCs w:val="19"/>
              </w:rPr>
              <w:t xml:space="preserve">Farbe</w:t>
            </w:r>
          </w:p>
        </w:tc>
        <w:tc>
          <w:tcPr>
            <w:tcW w:type="dxa" w:w="2400"/>
            <w:shd w:fill="2A2520" w:val="clear"/>
            <w:tcMar>
              <w:top w:type="dxa" w:w="80"/>
              <w:left w:type="dxa" w:w="100"/>
              <w:bottom w:type="dxa" w:w="80"/>
              <w:right w:type="dxa" w:w="100"/>
            </w:tcMar>
            <w:vAlign w:val="center"/>
          </w:tcPr>
          <w:p>
            <w:r>
              <w:rPr>
                <w:b/>
                <w:bCs/>
                <w:color w:val="FFFFFF"/>
                <w:sz w:val="19"/>
                <w:szCs w:val="19"/>
              </w:rPr>
              <w:t xml:space="preserve">Code</w:t>
            </w:r>
          </w:p>
        </w:tc>
        <w:tc>
          <w:tcPr>
            <w:tcW w:type="dxa" w:w="4000"/>
            <w:shd w:fill="2A2520" w:val="clear"/>
            <w:tcMar>
              <w:top w:type="dxa" w:w="80"/>
              <w:left w:type="dxa" w:w="100"/>
              <w:bottom w:type="dxa" w:w="80"/>
              <w:right w:type="dxa" w:w="100"/>
            </w:tcMar>
            <w:vAlign w:val="center"/>
          </w:tcPr>
          <w:p>
            <w:r>
              <w:rPr>
                <w:b/>
                <w:bCs/>
                <w:color w:val="FFFFFF"/>
                <w:sz w:val="19"/>
                <w:szCs w:val="19"/>
              </w:rPr>
              <w:t xml:space="preserve">Bedeutung</w:t>
            </w:r>
          </w:p>
        </w:tc>
      </w:tr>
      <w:tr>
        <w:tc>
          <w:tcPr>
            <w:tcW w:type="dxa" w:w="2600"/>
            <w:shd w:fill="FFFFFF" w:val="clear"/>
            <w:tcMar>
              <w:top w:type="dxa" w:w="70"/>
              <w:left w:type="dxa" w:w="100"/>
              <w:bottom w:type="dxa" w:w="70"/>
              <w:right w:type="dxa" w:w="100"/>
            </w:tcMar>
            <w:vAlign w:val="center"/>
          </w:tcPr>
          <w:p>
            <w:r>
              <w:rPr>
                <w:color w:val="2A2520"/>
                <w:sz w:val="19"/>
                <w:szCs w:val="19"/>
              </w:rPr>
              <w:t xml:space="preserve">Ivory (Basiston)</w:t>
            </w:r>
          </w:p>
        </w:tc>
        <w:tc>
          <w:tcPr>
            <w:tcW w:type="dxa" w:w="2400"/>
            <w:shd w:fill="FFFFFF" w:val="clear"/>
            <w:tcMar>
              <w:top w:type="dxa" w:w="70"/>
              <w:left w:type="dxa" w:w="100"/>
              <w:bottom w:type="dxa" w:w="70"/>
              <w:right w:type="dxa" w:w="100"/>
            </w:tcMar>
            <w:vAlign w:val="center"/>
          </w:tcPr>
          <w:p>
            <w:r>
              <w:rPr>
                <w:color w:val="2A2520"/>
                <w:sz w:val="19"/>
                <w:szCs w:val="19"/>
              </w:rPr>
              <w:t xml:space="preserve">#F6F1E7</w:t>
            </w:r>
          </w:p>
        </w:tc>
        <w:tc>
          <w:tcPr>
            <w:tcW w:type="dxa" w:w="4000"/>
            <w:shd w:fill="FFFFFF" w:val="clear"/>
            <w:tcMar>
              <w:top w:type="dxa" w:w="70"/>
              <w:left w:type="dxa" w:w="100"/>
              <w:bottom w:type="dxa" w:w="70"/>
              <w:right w:type="dxa" w:w="100"/>
            </w:tcMar>
            <w:vAlign w:val="center"/>
          </w:tcPr>
          <w:p>
            <w:r>
              <w:rPr>
                <w:color w:val="2A2520"/>
                <w:sz w:val="19"/>
                <w:szCs w:val="19"/>
              </w:rPr>
              <w:t xml:space="preserve">Ruhe, Papier, Zurückhaltung — die Bühne, auf der Produkt und Inhalt wirken</w:t>
            </w:r>
          </w:p>
        </w:tc>
      </w:tr>
      <w:tr>
        <w:tc>
          <w:tcPr>
            <w:tcW w:type="dxa" w:w="2600"/>
            <w:shd w:fill="F6F1E7" w:val="clear"/>
            <w:tcMar>
              <w:top w:type="dxa" w:w="70"/>
              <w:left w:type="dxa" w:w="100"/>
              <w:bottom w:type="dxa" w:w="70"/>
              <w:right w:type="dxa" w:w="100"/>
            </w:tcMar>
            <w:vAlign w:val="center"/>
          </w:tcPr>
          <w:p>
            <w:r>
              <w:rPr>
                <w:color w:val="2A2520"/>
                <w:sz w:val="19"/>
                <w:szCs w:val="19"/>
              </w:rPr>
              <w:t xml:space="preserve">Ink (Text/Struktur)</w:t>
            </w:r>
          </w:p>
        </w:tc>
        <w:tc>
          <w:tcPr>
            <w:tcW w:type="dxa" w:w="2400"/>
            <w:shd w:fill="F6F1E7" w:val="clear"/>
            <w:tcMar>
              <w:top w:type="dxa" w:w="70"/>
              <w:left w:type="dxa" w:w="100"/>
              <w:bottom w:type="dxa" w:w="70"/>
              <w:right w:type="dxa" w:w="100"/>
            </w:tcMar>
            <w:vAlign w:val="center"/>
          </w:tcPr>
          <w:p>
            <w:r>
              <w:rPr>
                <w:color w:val="2A2520"/>
                <w:sz w:val="19"/>
                <w:szCs w:val="19"/>
              </w:rPr>
              <w:t xml:space="preserve">#2A2520</w:t>
            </w:r>
          </w:p>
        </w:tc>
        <w:tc>
          <w:tcPr>
            <w:tcW w:type="dxa" w:w="4000"/>
            <w:shd w:fill="F6F1E7" w:val="clear"/>
            <w:tcMar>
              <w:top w:type="dxa" w:w="70"/>
              <w:left w:type="dxa" w:w="100"/>
              <w:bottom w:type="dxa" w:w="70"/>
              <w:right w:type="dxa" w:w="100"/>
            </w:tcMar>
            <w:vAlign w:val="center"/>
          </w:tcPr>
          <w:p>
            <w:r>
              <w:rPr>
                <w:color w:val="2A2520"/>
                <w:sz w:val="19"/>
                <w:szCs w:val="19"/>
              </w:rPr>
              <w:t xml:space="preserve">Präzision, Verlässlichkeit, unternehmerische Klarheit</w:t>
            </w:r>
          </w:p>
        </w:tc>
      </w:tr>
      <w:tr>
        <w:tc>
          <w:tcPr>
            <w:tcW w:type="dxa" w:w="2600"/>
            <w:shd w:fill="FFFFFF" w:val="clear"/>
            <w:tcMar>
              <w:top w:type="dxa" w:w="70"/>
              <w:left w:type="dxa" w:w="100"/>
              <w:bottom w:type="dxa" w:w="70"/>
              <w:right w:type="dxa" w:w="100"/>
            </w:tcMar>
            <w:vAlign w:val="center"/>
          </w:tcPr>
          <w:p>
            <w:r>
              <w:rPr>
                <w:color w:val="2A2520"/>
                <w:sz w:val="19"/>
                <w:szCs w:val="19"/>
              </w:rPr>
              <w:t xml:space="preserve">Camel (einziger Akzent)</w:t>
            </w:r>
          </w:p>
        </w:tc>
        <w:tc>
          <w:tcPr>
            <w:tcW w:type="dxa" w:w="2400"/>
            <w:shd w:fill="FFFFFF" w:val="clear"/>
            <w:tcMar>
              <w:top w:type="dxa" w:w="70"/>
              <w:left w:type="dxa" w:w="100"/>
              <w:bottom w:type="dxa" w:w="70"/>
              <w:right w:type="dxa" w:w="100"/>
            </w:tcMar>
            <w:vAlign w:val="center"/>
          </w:tcPr>
          <w:p>
            <w:r>
              <w:rPr>
                <w:color w:val="2A2520"/>
                <w:sz w:val="19"/>
                <w:szCs w:val="19"/>
              </w:rPr>
              <w:t xml:space="preserve">#9C7A53</w:t>
            </w:r>
          </w:p>
        </w:tc>
        <w:tc>
          <w:tcPr>
            <w:tcW w:type="dxa" w:w="4000"/>
            <w:shd w:fill="FFFFFF" w:val="clear"/>
            <w:tcMar>
              <w:top w:type="dxa" w:w="70"/>
              <w:left w:type="dxa" w:w="100"/>
              <w:bottom w:type="dxa" w:w="70"/>
              <w:right w:type="dxa" w:w="100"/>
            </w:tcMar>
            <w:vAlign w:val="center"/>
          </w:tcPr>
          <w:p>
            <w:r>
              <w:rPr>
                <w:color w:val="2A2520"/>
                <w:sz w:val="19"/>
                <w:szCs w:val="19"/>
              </w:rPr>
              <w:t xml:space="preserve">Terroir, Holzfass, Leder — der einzige Farbakzent der gesamten Marke</w:t>
            </w:r>
          </w:p>
        </w:tc>
      </w:tr>
      <w:tr>
        <w:tc>
          <w:tcPr>
            <w:tcW w:type="dxa" w:w="2600"/>
            <w:shd w:fill="F6F1E7" w:val="clear"/>
            <w:tcMar>
              <w:top w:type="dxa" w:w="70"/>
              <w:left w:type="dxa" w:w="100"/>
              <w:bottom w:type="dxa" w:w="70"/>
              <w:right w:type="dxa" w:w="100"/>
            </w:tcMar>
            <w:vAlign w:val="center"/>
          </w:tcPr>
          <w:p>
            <w:r>
              <w:rPr>
                <w:color w:val="2A2520"/>
                <w:sz w:val="19"/>
                <w:szCs w:val="19"/>
              </w:rPr>
              <w:t xml:space="preserve">Stone (Sekundärtext)</w:t>
            </w:r>
          </w:p>
        </w:tc>
        <w:tc>
          <w:tcPr>
            <w:tcW w:type="dxa" w:w="2400"/>
            <w:shd w:fill="F6F1E7" w:val="clear"/>
            <w:tcMar>
              <w:top w:type="dxa" w:w="70"/>
              <w:left w:type="dxa" w:w="100"/>
              <w:bottom w:type="dxa" w:w="70"/>
              <w:right w:type="dxa" w:w="100"/>
            </w:tcMar>
            <w:vAlign w:val="center"/>
          </w:tcPr>
          <w:p>
            <w:r>
              <w:rPr>
                <w:color w:val="2A2520"/>
                <w:sz w:val="19"/>
                <w:szCs w:val="19"/>
              </w:rPr>
              <w:t xml:space="preserve">#857A68</w:t>
            </w:r>
          </w:p>
        </w:tc>
        <w:tc>
          <w:tcPr>
            <w:tcW w:type="dxa" w:w="4000"/>
            <w:shd w:fill="F6F1E7" w:val="clear"/>
            <w:tcMar>
              <w:top w:type="dxa" w:w="70"/>
              <w:left w:type="dxa" w:w="100"/>
              <w:bottom w:type="dxa" w:w="70"/>
              <w:right w:type="dxa" w:w="100"/>
            </w:tcMar>
            <w:vAlign w:val="center"/>
          </w:tcPr>
          <w:p>
            <w:r>
              <w:rPr>
                <w:color w:val="2A2520"/>
                <w:sz w:val="19"/>
                <w:szCs w:val="19"/>
              </w:rPr>
              <w:t xml:space="preserve">Zurückhaltung, unterstützende Information ohne Ablenkung</w:t>
            </w:r>
          </w:p>
        </w:tc>
      </w:tr>
    </w:tbl>
    <w:p>
      <w:pPr>
        <w:spacing w:after="200" w:before="100"/>
      </w:pPr>
      <w:r>
        <w:rPr>
          <w:i/>
          <w:iCs/>
          <w:color w:val="857A68"/>
          <w:sz w:val="17"/>
          <w:szCs w:val="17"/>
        </w:rPr>
        <w:t xml:space="preserve">Bewusst reduziert auf vier Töne — jede zusätzliche Farbe würde die Zurückhaltung der Marke unterlaufen.</w:t>
      </w:r>
    </w:p>
    <w:p>
      <w:pPr>
        <w:pStyle w:val="Heading2"/>
        <w:spacing w:after="140" w:before="320"/>
      </w:pPr>
      <w:r>
        <w:rPr>
          <w:b w:val="false"/>
          <w:bCs w:val="false"/>
          <w:i/>
          <w:iCs/>
          <w:color w:val="9C7A53"/>
          <w:sz w:val="24"/>
          <w:szCs w:val="24"/>
        </w:rPr>
        <w:t xml:space="preserve">14.5 Typografie</w:t>
      </w:r>
    </w:p>
    <w:p>
      <w:pPr>
        <w:spacing w:after="160" w:line="300"/>
      </w:pPr>
      <w:r>
        <w:rPr>
          <w:b w:val="false"/>
          <w:bCs w:val="false"/>
          <w:i w:val="false"/>
          <w:iCs w:val="false"/>
          <w:color w:val="2A2520"/>
        </w:rPr>
        <w:t xml:space="preserve">Eine Serifenschrift für Überschriften und Zitate steht für Tradition, Redaktion und Vertrauen — sie erinnert an Weingut und Handwerk. Eine schlichte serifenlose Schrift in Versalien mit weiter Laufweite für Navigation, Labels und Formulare steht für Klarheit und professionelle Software. Dieses bewusste Kontrastpaar macht IPT gleichzeitig als Weingut-nahe Marke und als seriöse B2B-Handelsplattform glaubwürdig.</w:t>
      </w:r>
    </w:p>
    <w:p>
      <w:pPr>
        <w:pStyle w:val="Heading2"/>
        <w:spacing w:after="140" w:before="320"/>
      </w:pPr>
      <w:r>
        <w:rPr>
          <w:b w:val="false"/>
          <w:bCs w:val="false"/>
          <w:i/>
          <w:iCs/>
          <w:color w:val="9C7A53"/>
          <w:sz w:val="24"/>
          <w:szCs w:val="24"/>
        </w:rPr>
        <w:t xml:space="preserve">14.6 Logo (aktueller Platzhalter)</w:t>
      </w:r>
    </w:p>
    <w:p>
      <w:pPr>
        <w:spacing w:after="160" w:line="300"/>
      </w:pPr>
      <w:r>
        <w:rPr>
          <w:b w:val="false"/>
          <w:bCs w:val="false"/>
          <w:i w:val="false"/>
          <w:iCs w:val="false"/>
          <w:color w:val="2A2520"/>
        </w:rPr>
        <w:t xml:space="preserve">Der aktuelle Entwurf zeigt eine schlichte Wortmarke: die Initialen „IPT“ in einem dünnen Rahmen als Bildmarke, ergänzt um den ausgeschriebenen Namen „IPT“ und den Zusatz „Italy Pallet Trade“ in gesperrten Versalien darunter — bewusst zurückhaltend, ohne Symbolik, die mit der Zeit an Aussagekraft verlieren könnte. Dieser Platzhalter ist so gestaltet, dass er sich nahtlos durch ein finales, professionell gestaltetes Logo ersetzen lässt, sobald dieses vorliegt.</w:t>
      </w:r>
    </w:p>
    <w:p>
      <w:pPr>
        <w:pStyle w:val="Heading2"/>
        <w:spacing w:after="140" w:before="320"/>
      </w:pPr>
      <w:r>
        <w:rPr>
          <w:b w:val="false"/>
          <w:bCs w:val="false"/>
          <w:i/>
          <w:iCs/>
          <w:color w:val="9C7A53"/>
          <w:sz w:val="24"/>
          <w:szCs w:val="24"/>
        </w:rPr>
        <w:t xml:space="preserve">14.7 Die Marke als Ökosystem: „T“ wie Trade</w:t>
      </w:r>
    </w:p>
    <w:p>
      <w:pPr>
        <w:spacing w:after="160" w:line="300"/>
      </w:pPr>
      <w:r>
        <w:rPr>
          <w:b w:val="false"/>
          <w:bCs w:val="false"/>
          <w:i w:val="false"/>
          <w:iCs w:val="false"/>
          <w:color w:val="2A2520"/>
        </w:rPr>
        <w:t xml:space="preserve">Das „T“ in IPT steht nicht nur für eine Handelsplattform im engeren Sinn, sondern für ein Handelsnetzwerk, das sich aus drei Bausteinen zusammensetzt und die Marke im Alltag glaubwürdig macht:</w:t>
      </w:r>
    </w:p>
    <w:p>
      <w:pPr>
        <w:pStyle w:val="ListParagraph"/>
        <w:numPr>
          <w:ilvl w:val="0"/>
          <w:numId w:val="2"/>
        </w:numPr>
        <w:spacing w:after="90" w:line="290"/>
      </w:pPr>
      <w:r>
        <w:rPr>
          <w:b/>
          <w:bCs/>
          <w:color w:val="2A2520"/>
        </w:rPr>
        <w:t xml:space="preserve">Menschlicher Vertrieb: </w:t>
      </w:r>
      <w:r>
        <w:rPr>
          <w:color w:val="2A2520"/>
        </w:rPr>
        <w:t xml:space="preserve">ein bereits bestehendes Netzwerk selbstständiger Vertriebler, die in der Gastronomie verwurzelt sind und Vertrauen mitbringen, das keine Werbung ersetzen kann.</w:t>
      </w:r>
    </w:p>
    <w:p>
      <w:pPr>
        <w:pStyle w:val="ListParagraph"/>
        <w:numPr>
          <w:ilvl w:val="0"/>
          <w:numId w:val="2"/>
        </w:numPr>
        <w:spacing w:after="90" w:line="290"/>
      </w:pPr>
      <w:r>
        <w:rPr>
          <w:b/>
          <w:bCs/>
          <w:color w:val="2A2520"/>
        </w:rPr>
        <w:t xml:space="preserve">KI-gestützte Erstkommunikation: </w:t>
      </w:r>
      <w:r>
        <w:rPr>
          <w:color w:val="2A2520"/>
        </w:rPr>
        <w:t xml:space="preserve">ein rund um die Uhr verfügbarer, markenkonform trainierter Chat-Assistent, der Anfragen aufnimmt und sauber an Winzer bzw. Vertriebler übergibt, sobald es konkret wird (siehe Kapitel 7.1a).</w:t>
      </w:r>
    </w:p>
    <w:p>
      <w:pPr>
        <w:pStyle w:val="ListParagraph"/>
        <w:numPr>
          <w:ilvl w:val="0"/>
          <w:numId w:val="2"/>
        </w:numPr>
        <w:spacing w:after="90" w:line="290"/>
      </w:pPr>
      <w:r>
        <w:rPr>
          <w:b/>
          <w:bCs/>
          <w:color w:val="2A2520"/>
        </w:rPr>
        <w:t xml:space="preserve">Strategische Partnerschaften: </w:t>
      </w:r>
      <w:r>
        <w:rPr>
          <w:color w:val="2A2520"/>
        </w:rPr>
        <w:t xml:space="preserve">z. B. die Anbindung an Easy Sales, eine Marketingplattform für Gastronomen — echte Symbiose statt isoliertem Vertriebskanal.</w:t>
      </w:r>
    </w:p>
    <w:p>
      <w:pPr>
        <w:spacing w:after="160" w:line="300"/>
      </w:pPr>
      <w:r>
        <w:rPr>
          <w:b w:val="false"/>
          <w:bCs w:val="false"/>
          <w:i w:val="false"/>
          <w:iCs w:val="false"/>
          <w:color w:val="2A2520"/>
        </w:rPr>
        <w:t xml:space="preserve">Diese Kombination aus Nähe (Vertriebler), Skalierbarkeit (KI) und Reichweite (Partnerschaften) ist selbst Teil des Markenversprechens: IPT wirkt dadurch nicht wie ein anonymer Online-Shop, sondern wie ein Handelspartner mit Gesicht — modern in der Technik, persönlich im Kontakt.</w:t>
      </w:r>
    </w:p>
    <w:p>
      <w:r>
        <w:br w:type="page"/>
      </w:r>
    </w:p>
    <w:p>
      <w:pPr>
        <w:pStyle w:val="Heading1"/>
        <w:pBdr>
          <w:bottom w:val="single" w:color="9C7A53" w:sz="4" w:space="4"/>
        </w:pBdr>
        <w:spacing w:after="200" w:before="480"/>
      </w:pPr>
      <w:r>
        <w:rPr>
          <w:b w:val="false"/>
          <w:bCs w:val="false"/>
          <w:i/>
          <w:iCs/>
          <w:color w:val="2A2520"/>
          <w:sz w:val="30"/>
          <w:szCs w:val="30"/>
        </w:rPr>
        <w:t xml:space="preserve">15. Anhang: Website-Mockups (Konzeptvorschau)</w:t>
      </w:r>
    </w:p>
    <w:p>
      <w:pPr>
        <w:spacing w:after="160" w:line="300"/>
      </w:pPr>
      <w:r>
        <w:rPr>
          <w:b w:val="false"/>
          <w:bCs w:val="false"/>
          <w:i w:val="false"/>
          <w:iCs w:val="false"/>
          <w:color w:val="2A2520"/>
        </w:rPr>
        <w:t xml:space="preserve">Die folgenden Bildschirme zeigen einen ersten gestalterischen Entwurf der Plattform unter dem Markennamen IPT — Italy Pallet Trade: Startseite, Winzerseite, Sortiment mit Palettenkonfigurator, Etiketten-Designer, Handelspartner-Backend und B2B-Zugang. Die Gestaltungssprache folgt der in Kapitel 14 hergeleiteten "Quiet-Luxury"-Logik. Es handelt sich um eine Konzeptvorschau zur Veranschaulichung von Struktur und Funktionsumfang, nicht um das finale Design. Das Logo ist der in 14.6 beschriebene Platzhalter-Wortmark; Produktfotos (Flaschen) sind Illustrationen, die Landschaftsfotos der Weingüter sind KI-generierte Stimmungsbilder und werden vor dem Launch durch echtes Bildmaterial der Winzer ersetzt.</w:t>
      </w:r>
    </w:p>
    <w:p>
      <w:pPr>
        <w:pStyle w:val="Heading2"/>
        <w:spacing w:after="140" w:before="320"/>
      </w:pPr>
      <w:r>
        <w:rPr>
          <w:b w:val="false"/>
          <w:bCs w:val="false"/>
          <w:i/>
          <w:iCs/>
          <w:color w:val="9C7A53"/>
          <w:sz w:val="24"/>
          <w:szCs w:val="24"/>
        </w:rPr>
        <w:t xml:space="preserve">15.1 Startseite</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38862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86200" cy="8191500"/>
                    </a:xfrm>
                    <a:prstGeom prst="rect">
                      <a:avLst/>
                    </a:prstGeom>
                  </pic:spPr>
                </pic:pic>
              </a:graphicData>
            </a:graphic>
          </wp:inline>
        </w:drawing>
      </w:r>
    </w:p>
    <w:p>
      <w:pPr>
        <w:spacing w:after="220"/>
        <w:jc w:val="center"/>
      </w:pPr>
      <w:r>
        <w:rPr>
          <w:i/>
          <w:iCs/>
          <w:color w:val="857A68"/>
          <w:sz w:val="18"/>
          <w:szCs w:val="18"/>
        </w:rPr>
        <w:t xml:space="preserve">Startseite: Hero-Bereich, Philosophie, Winzer-Teaser, 3-Schritte-Erklärung.</w:t>
      </w:r>
    </w:p>
    <w:p>
      <w:r>
        <w:br w:type="page"/>
      </w:r>
    </w:p>
    <w:p>
      <w:pPr>
        <w:pStyle w:val="Heading2"/>
        <w:spacing w:after="140" w:before="320"/>
      </w:pPr>
      <w:r>
        <w:rPr>
          <w:b w:val="false"/>
          <w:bCs w:val="false"/>
          <w:i/>
          <w:iCs/>
          <w:color w:val="9C7A53"/>
          <w:sz w:val="24"/>
          <w:szCs w:val="24"/>
        </w:rPr>
        <w:t xml:space="preserve">15.2 Winzerseite (Beispiel: Ferreri Vini)</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4667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8191500"/>
                    </a:xfrm>
                    <a:prstGeom prst="rect">
                      <a:avLst/>
                    </a:prstGeom>
                  </pic:spPr>
                </pic:pic>
              </a:graphicData>
            </a:graphic>
          </wp:inline>
        </w:drawing>
      </w:r>
    </w:p>
    <w:p>
      <w:pPr>
        <w:spacing w:after="220"/>
        <w:jc w:val="center"/>
      </w:pPr>
      <w:r>
        <w:rPr>
          <w:i/>
          <w:iCs/>
          <w:color w:val="857A68"/>
          <w:sz w:val="18"/>
          <w:szCs w:val="18"/>
        </w:rPr>
        <w:t xml:space="preserve">Winzerseite mit Geschichte, Zitat der Inhaberfamilie, Auszeichnungen und Sortimentsvorschau.</w:t>
      </w:r>
    </w:p>
    <w:p>
      <w:r>
        <w:br w:type="page"/>
      </w:r>
    </w:p>
    <w:p>
      <w:pPr>
        <w:pStyle w:val="Heading2"/>
        <w:spacing w:after="140" w:before="320"/>
      </w:pPr>
      <w:r>
        <w:rPr>
          <w:b w:val="false"/>
          <w:bCs w:val="false"/>
          <w:i/>
          <w:iCs/>
          <w:color w:val="9C7A53"/>
          <w:sz w:val="24"/>
          <w:szCs w:val="24"/>
        </w:rPr>
        <w:t xml:space="preserve">15.3 Sortiment &amp; Palettenkonfigurator</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991350"/>
                    </a:xfrm>
                    <a:prstGeom prst="rect">
                      <a:avLst/>
                    </a:prstGeom>
                  </pic:spPr>
                </pic:pic>
              </a:graphicData>
            </a:graphic>
          </wp:inline>
        </w:drawing>
      </w:r>
    </w:p>
    <w:p>
      <w:pPr>
        <w:spacing w:after="220"/>
        <w:jc w:val="center"/>
      </w:pPr>
      <w:r>
        <w:rPr>
          <w:i/>
          <w:iCs/>
          <w:color w:val="857A68"/>
          <w:sz w:val="18"/>
          <w:szCs w:val="18"/>
        </w:rPr>
        <w:t xml:space="preserve">B2B-Sortiment mit Filtern und sticky Palettenkonfigurator (Fortschritt bis 600 Flaschen).</w:t>
      </w:r>
    </w:p>
    <w:p>
      <w:r>
        <w:br w:type="page"/>
      </w:r>
    </w:p>
    <w:p>
      <w:pPr>
        <w:pStyle w:val="Heading2"/>
        <w:spacing w:after="140" w:before="320"/>
      </w:pPr>
      <w:r>
        <w:rPr>
          <w:b w:val="false"/>
          <w:bCs w:val="false"/>
          <w:i/>
          <w:iCs/>
          <w:color w:val="9C7A53"/>
          <w:sz w:val="24"/>
          <w:szCs w:val="24"/>
        </w:rPr>
        <w:t xml:space="preserve">15.4 Etiketten-Designer (Private Label)</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953000"/>
                    </a:xfrm>
                    <a:prstGeom prst="rect">
                      <a:avLst/>
                    </a:prstGeom>
                  </pic:spPr>
                </pic:pic>
              </a:graphicData>
            </a:graphic>
          </wp:inline>
        </w:drawing>
      </w:r>
    </w:p>
    <w:p>
      <w:pPr>
        <w:spacing w:after="220"/>
        <w:jc w:val="center"/>
      </w:pPr>
      <w:r>
        <w:rPr>
          <w:i/>
          <w:iCs/>
          <w:color w:val="857A68"/>
          <w:sz w:val="18"/>
          <w:szCs w:val="18"/>
        </w:rPr>
        <w:t xml:space="preserve">Etiketten-Designer: Vorlage wählen, Logo hochladen oder KI-Design generieren, Live-Vorschau.</w:t>
      </w:r>
    </w:p>
    <w:p>
      <w:r>
        <w:br w:type="page"/>
      </w:r>
    </w:p>
    <w:p>
      <w:pPr>
        <w:pStyle w:val="Heading2"/>
        <w:spacing w:after="140" w:before="320"/>
      </w:pPr>
      <w:r>
        <w:rPr>
          <w:b w:val="false"/>
          <w:bCs w:val="false"/>
          <w:i/>
          <w:iCs/>
          <w:color w:val="9C7A53"/>
          <w:sz w:val="24"/>
          <w:szCs w:val="24"/>
        </w:rPr>
        <w:t xml:space="preserve">15.5 Handelspartner-Backend (Dashboard)</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67150"/>
                    </a:xfrm>
                    <a:prstGeom prst="rect">
                      <a:avLst/>
                    </a:prstGeom>
                  </pic:spPr>
                </pic:pic>
              </a:graphicData>
            </a:graphic>
          </wp:inline>
        </w:drawing>
      </w:r>
    </w:p>
    <w:p>
      <w:pPr>
        <w:spacing w:after="220"/>
        <w:jc w:val="center"/>
      </w:pPr>
      <w:r>
        <w:rPr>
          <w:i/>
          <w:iCs/>
          <w:color w:val="857A68"/>
          <w:sz w:val="18"/>
          <w:szCs w:val="18"/>
        </w:rPr>
        <w:t xml:space="preserve">Dashboard mit Provisionsübersicht, Umsatzverlauf und aktuellen Bestellungen je Kunde.</w:t>
      </w:r>
    </w:p>
    <w:p>
      <w:r>
        <w:br w:type="page"/>
      </w:r>
    </w:p>
    <w:p>
      <w:pPr>
        <w:pStyle w:val="Heading2"/>
        <w:spacing w:after="140" w:before="320"/>
      </w:pPr>
      <w:r>
        <w:rPr>
          <w:b w:val="false"/>
          <w:bCs w:val="false"/>
          <w:i/>
          <w:iCs/>
          <w:color w:val="9C7A53"/>
          <w:sz w:val="24"/>
          <w:szCs w:val="24"/>
        </w:rPr>
        <w:t xml:space="preserve">15.6 B2B-Zugang</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857A68"/>
          <w:sz w:val="18"/>
          <w:szCs w:val="18"/>
        </w:rPr>
        <w:t xml:space="preserve">Zugangsbereich für freigeschaltete Geschäftskunden inkl. Registrierungs-Einstieg.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57A68"/>
        <w:sz w:val="16"/>
        <w:szCs w:val="16"/>
      </w:rPr>
      <w:t xml:space="preserve">Vertraulich  •  </w:t>
    </w:r>
    <w:r>
      <w:rPr>
        <w:color w:val="857A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57A68"/>
        <w:sz w:val="16"/>
        <w:szCs w:val="16"/>
      </w:rPr>
      <w:t xml:space="preserve">Businessplan · IPT — Italy Pallet Trade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5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615f13099f4f5da10f71eb9dcd01e115dbba15.png"/><Relationship Id="rId10" Type="http://schemas.openxmlformats.org/officeDocument/2006/relationships/image" Target="media/94ccf18d4fccf4af6fe9a3d61ac2f5277353dbdd.png"/><Relationship Id="rId11" Type="http://schemas.openxmlformats.org/officeDocument/2006/relationships/image" Target="media/0984ca5159584b8bc557fca780b55a50d3df7633.png"/><Relationship Id="rId12" Type="http://schemas.openxmlformats.org/officeDocument/2006/relationships/image" Target="media/7a0af647af6ff0d6b621504ce23d8bd339443817.png"/><Relationship Id="rId13" Type="http://schemas.openxmlformats.org/officeDocument/2006/relationships/image" Target="media/b8afac7e5c0a64662af2f0ad7882cd296e5fa2e9.png"/><Relationship Id="rId14" Type="http://schemas.openxmlformats.org/officeDocument/2006/relationships/image" Target="media/f0372532182f1090740d722051abacc5ad382bc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IPT</dc:title>
  <dc:creator>Stefano Granata</dc:creator>
  <cp:lastModifiedBy>Un-named</cp:lastModifiedBy>
  <cp:revision>1</cp:revision>
  <dcterms:created xsi:type="dcterms:W3CDTF">2026-08-10T09:12:55.664Z</dcterms:created>
  <dcterms:modified xsi:type="dcterms:W3CDTF">2026-08-10T09:12:55.666Z</dcterms:modified>
</cp:coreProperties>
</file>

<file path=docProps/custom.xml><?xml version="1.0" encoding="utf-8"?>
<Properties xmlns="http://schemas.openxmlformats.org/officeDocument/2006/custom-properties" xmlns:vt="http://schemas.openxmlformats.org/officeDocument/2006/docPropsVTypes"/>
</file>