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/>
    <w:p/>
    <w:p/>
    <w:p>
      <w:pPr>
        <w:jc w:val="center"/>
      </w:pPr>
      <w:r>
        <w:rPr>
          <w:color w:val="1F4E79"/>
          <w:sz w:val="56"/>
          <w:szCs w:val="56"/>
          <w:b w:val="1"/>
          <w:bCs w:val="1"/>
        </w:rPr>
        <w:t xml:space="preserve">Manual de Usuario</w:t>
      </w:r>
    </w:p>
    <w:p/>
    <w:p>
      <w:pPr>
        <w:jc w:val="center"/>
      </w:pPr>
      <w:r>
        <w:rPr>
          <w:color w:val="2E75B6"/>
          <w:sz w:val="36"/>
          <w:szCs w:val="36"/>
          <w:b w:val="1"/>
          <w:bCs w:val="1"/>
        </w:rPr>
        <w:t xml:space="preserve">Anita ERP — Circuito de suscripciones</w:t>
      </w:r>
    </w:p>
    <w:p/>
    <w:p/>
    <w:p>
      <w:pPr>
        <w:jc w:val="center"/>
      </w:pPr>
      <w:r>
        <w:rPr>
          <w:sz w:val="24"/>
          <w:szCs w:val="24"/>
        </w:rPr>
        <w:t xml:space="preserve">Empresa: AGG</w:t>
      </w:r>
    </w:p>
    <w:p>
      <w:pPr>
        <w:jc w:val="center"/>
      </w:pPr>
      <w:r>
        <w:rPr>
          <w:sz w:val="22"/>
          <w:szCs w:val="22"/>
        </w:rPr>
        <w:t xml:space="preserve">Versión 1.0 — septiembre 2026</w:t>
      </w:r>
    </w:p>
    <w:p/>
    <w:p>
      <w:pPr>
        <w:jc w:val="center"/>
      </w:pPr>
      <w:r>
        <w:rPr>
          <w:color w:val="666666"/>
          <w:sz w:val="20"/>
          <w:szCs w:val="20"/>
        </w:rPr>
        <w:t xml:space="preserve">URL: http://10.20.30.210/anitaERP/public/seguridad/login</w:t>
      </w:r>
    </w:p>
    <w:p>
      <w:r>
        <w:br w:type="page"/>
      </w:r>
    </w:p>
    <w:p>
      <w:pPr>
        <w:pStyle w:val="Heading1"/>
      </w:pPr>
      <w:bookmarkStart w:id="0" w:name="_Toc0"/>
      <w:r>
        <w:t>Índice</w:t>
      </w:r>
      <w:bookmarkEnd w:id="0"/>
    </w:p>
    <w:p>
      <w:pPr/>
      <w:r>
        <w:rPr>
          <w:sz w:val="22"/>
          <w:szCs w:val="22"/>
        </w:rPr>
        <w:t xml:space="preserve">1. Qué problema resuelve</w:t>
      </w:r>
    </w:p>
    <w:p>
      <w:pPr/>
      <w:r>
        <w:rPr>
          <w:sz w:val="22"/>
          <w:szCs w:val="22"/>
        </w:rPr>
        <w:t xml:space="preserve">2. El circuito en seis pasos</w:t>
      </w:r>
    </w:p>
    <w:p>
      <w:pPr/>
      <w:r>
        <w:rPr>
          <w:sz w:val="22"/>
          <w:szCs w:val="22"/>
        </w:rPr>
        <w:t xml:space="preserve">3. Estados</w:t>
      </w:r>
    </w:p>
    <w:p>
      <w:pPr/>
      <w:r>
        <w:rPr>
          <w:sz w:val="22"/>
          <w:szCs w:val="22"/>
        </w:rPr>
        <w:t xml:space="preserve">4. Tope autorizado y tolerancia</w:t>
      </w:r>
    </w:p>
    <w:p>
      <w:pPr/>
      <w:r>
        <w:rPr>
          <w:sz w:val="22"/>
          <w:szCs w:val="22"/>
        </w:rPr>
        <w:t xml:space="preserve">5. Conciliación mensual</w:t>
      </w:r>
    </w:p>
    <w:p>
      <w:pPr/>
      <w:r>
        <w:rPr>
          <w:sz w:val="22"/>
          <w:szCs w:val="22"/>
        </w:rPr>
        <w:t xml:space="preserve">6. Cómo aprende el cruce</w:t>
      </w:r>
    </w:p>
    <w:p>
      <w:pPr/>
      <w:r>
        <w:rPr>
          <w:sz w:val="22"/>
          <w:szCs w:val="22"/>
        </w:rPr>
        <w:t xml:space="preserve">7. Quién hace qué</w:t>
      </w:r>
    </w:p>
    <w:p>
      <w:pPr/>
      <w:r>
        <w:rPr>
          <w:sz w:val="22"/>
          <w:szCs w:val="22"/>
        </w:rPr>
        <w:t xml:space="preserve">8. Configuración previa</w:t>
      </w:r>
    </w:p>
    <w:p>
      <w:pPr/>
      <w:r>
        <w:rPr>
          <w:sz w:val="22"/>
          <w:szCs w:val="22"/>
        </w:rPr>
        <w:t xml:space="preserve">9. Qué mirar cuando ya está en marcha</w:t>
      </w:r>
    </w:p>
    <w:p>
      <w:r>
        <w:br w:type="page"/>
      </w:r>
    </w:p>
    <w:p>
      <w:pPr>
        <w:pStyle w:val="Heading2"/>
      </w:pPr>
      <w:bookmarkStart w:id="1" w:name="_Toc1"/>
      <w:r>
        <w:t>1. Qué problema resuelve</w:t>
      </w:r>
      <w:bookmarkEnd w:id="1"/>
    </w:p>
    <w:p>
      <w:pPr>
        <w:jc w:val="both"/>
        <w:spacing w:after="120"/>
      </w:pPr>
      <w:r>
        <w:rPr>
          <w:sz w:val="22"/>
          <w:szCs w:val="22"/>
        </w:rPr>
        <w:t xml:space="preserve">Los servicios que se pagan con tarjeta corporativa —software, licencias, herramientas de marketing— se contratan en un clic y se renuevan solos. Sin un circuito propio terminan como cargos en el resumen que nadie autorizó, que nadie sabe quién usa y que no se pueden dar de baja porque se perdió el rastro de quién los pidió.</w:t>
      </w:r>
    </w:p>
    <w:p>
      <w:pPr>
        <w:jc w:val="both"/>
        <w:spacing w:after="120"/>
      </w:pPr>
      <w:r>
        <w:rPr>
          <w:sz w:val="22"/>
          <w:szCs w:val="22"/>
        </w:rPr>
        <w:t xml:space="preserve">El módulo pone una orden de compra detrás de cada suscripción y después cruza el resumen del emisor contra esas órdenes. Lo que no cierra queda a la vista.</w:t>
      </w:r>
    </w:p>
    <w:p>
      <w:pPr>
        <w:numPr>
          <w:ilvl w:val="0"/>
          <w:numId w:val=""/>
        </w:numPr>
      </w:pPr>
      <w:r>
        <w:rPr/>
        <w:t xml:space="preserve">Cada suscripción es una OC abierta (contrato) sin recepción, con cuenta contable y tope autorizado.</w:t>
      </w:r>
    </w:p>
    <w:p>
      <w:pPr>
        <w:numPr>
          <w:ilvl w:val="0"/>
          <w:numId w:val=""/>
        </w:numPr>
      </w:pPr>
      <w:r>
        <w:rPr/>
        <w:t xml:space="preserve">La autoriza el gerente del sector por un árbol propio, distinto al de órdenes de compra.</w:t>
      </w:r>
    </w:p>
    <w:p>
      <w:pPr>
        <w:numPr>
          <w:ilvl w:val="0"/>
          <w:numId w:val=""/>
        </w:numPr>
      </w:pPr>
      <w:r>
        <w:rPr/>
        <w:t xml:space="preserve">Todos los meses se importa el resumen de la tarjeta y se concilia contra las suscripciones vigentes.</w:t>
      </w:r>
    </w:p>
    <w:p>
      <w:pPr>
        <w:numPr>
          <w:ilvl w:val="0"/>
          <w:numId w:val=""/>
        </w:numPr>
      </w:pPr>
      <w:r>
        <w:rPr/>
        <w:t xml:space="preserve">El indicador de cobertura mide qué proporción del gasto real tiene una orden detrás.</w:t>
      </w:r>
    </w:p>
    <w:p/>
    <w:p>
      <w:pPr>
        <w:pStyle w:val="Heading2"/>
      </w:pPr>
      <w:bookmarkStart w:id="2" w:name="_Toc2"/>
      <w:r>
        <w:t>2. El circuito en seis pasos</w:t>
      </w:r>
      <w:bookmarkEnd w:id="2"/>
    </w:p>
    <w:p>
      <w:pPr>
        <w:jc w:val="both"/>
        <w:spacing w:after="120"/>
      </w:pPr>
      <w:r>
        <w:rPr>
          <w:sz w:val="22"/>
          <w:szCs w:val="22"/>
        </w:rPr>
        <w:t xml:space="preserve">El recorrido completo, desde que alguien pide una herramienta hasta que el gasto queda imputado.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Pasos del circuito</w:t>
      </w:r>
    </w:p>
    <w:tbl>
      <w:tblGrid>
        <w:gridCol w:w="2800" w:type="dxa"/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Paso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Quién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pasa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1. Alta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Solicitante / Compras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 carga la suscripción: servicio, proveedor, área, centro de costo, cuenta contable, tarjeta, monto y tolerancia. Se puede guardar como borrador.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2. Envío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Solicitante / Compras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Al enviar se genera la OC abierta y entra al árbol de Suscripciones.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3. Autorización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Gerente del sector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Autoriza o rechaza con comentario, desde la bandeja del módulo, desde Mis aprobaciones o desde el enlace del mail.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4. Vigencia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Sistema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La suscripción queda vigente hasta la fecha de renovación, con avisos a los 60, 30 y 15 días.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5. Conciliación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Se importa el resumen de la tarjeta y cada cargo se cruza contra las suscripciones vigentes.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6. Imputación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Los cargos conciliados generan el movimiento en Ingresos y egresos.</w:t>
            </w:r>
          </w:p>
        </w:tc>
      </w:tr>
    </w:tbl>
    <w:p/>
    <w:p>
      <w:pPr>
        <w:pStyle w:val="Heading2"/>
      </w:pPr>
      <w:bookmarkStart w:id="3" w:name="_Toc3"/>
      <w:r>
        <w:t>3. Estados</w:t>
      </w:r>
      <w:bookmarkEnd w:id="3"/>
    </w:p>
    <w:p>
      <w:pPr>
        <w:jc w:val="both"/>
        <w:spacing w:after="120"/>
      </w:pPr>
      <w:r>
        <w:rPr>
          <w:sz w:val="22"/>
          <w:szCs w:val="22"/>
        </w:rPr>
        <w:t xml:space="preserve">El estado de la suscripción resume dónde está en el circuito. No es el estado de la OC: es la lectura de negocio.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Estados de la suscripción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Significa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Borrador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Cargada pero todavía no enviada al gerente.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Pendiente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Enviada y esperando la autorización del gerente del sector.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Vigente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Autorizada y dentro del período de vigencia.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Desvío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Vigente, pero con un cargo por encima del tope autorizado sin resolver.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Vencida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Pasó la fecha de renovación sin revalidar.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Rechazada / cerrada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El gerente la rechazó o la OC se cerró.</w:t>
            </w:r>
          </w:p>
        </w:tc>
      </w:tr>
    </w:tbl>
    <w:p/>
    <w:p>
      <w:pPr>
        <w:pStyle w:val="Heading2"/>
      </w:pPr>
      <w:bookmarkStart w:id="4" w:name="_Toc4"/>
      <w:r>
        <w:t>4. Tope autorizado y tolerancia</w:t>
      </w:r>
      <w:bookmarkEnd w:id="4"/>
    </w:p>
    <w:p>
      <w:pPr>
        <w:jc w:val="both"/>
        <w:spacing w:after="120"/>
      </w:pPr>
      <w:r>
        <w:rPr>
          <w:sz w:val="22"/>
          <w:szCs w:val="22"/>
        </w:rPr>
        <w:t xml:space="preserve">El monto del período es lo que se espera pagar. La tolerancia es cuánto se admite que suba sin volver a preguntar: los proveedores de software ajustan precios, cambian el tipo de cambio y suman usuarios, y no tiene sentido escalar cada centavo.</w:t>
      </w:r>
    </w:p>
    <w:p>
      <w:pPr>
        <w:jc w:val="both"/>
        <w:spacing w:after="120"/>
      </w:pPr>
      <w:r>
        <w:rPr>
          <w:sz w:val="22"/>
          <w:szCs w:val="22"/>
        </w:rPr>
        <w:t xml:space="preserve">Tope autorizado = monto del período × (1 + tolerancia). Un cargo por debajo del tope se concilia solo. Uno por encima queda marcado como desvío y vuelve al mismo gerente para que revalide.</w:t>
      </w:r>
    </w:p>
    <w:p>
      <w:pPr>
        <w:jc w:val="both"/>
        <w:spacing w:after="120"/>
      </w:pPr>
      <w:r>
        <w:rPr>
          <w:sz w:val="22"/>
          <w:szCs w:val="22"/>
        </w:rPr>
        <w:t xml:space="preserve">Pagar menos de lo previsto no genera desvío: solo el exceso rompe la tolerancia.</w:t>
      </w:r>
    </w:p>
    <w:p>
      <w:pPr>
        <w:pStyle w:val="Heading2"/>
      </w:pPr>
      <w:bookmarkStart w:id="5" w:name="_Toc5"/>
      <w:r>
        <w:t>5. Conciliación mensual</w:t>
      </w:r>
      <w:bookmarkEnd w:id="5"/>
    </w:p>
    <w:p>
      <w:pPr>
        <w:jc w:val="both"/>
        <w:spacing w:after="120"/>
      </w:pPr>
      <w:r>
        <w:rPr>
          <w:sz w:val="22"/>
          <w:szCs w:val="22"/>
        </w:rPr>
        <w:t xml:space="preserve">Se abre un período por empresa y mes, y se importa el resumen del emisor en CSV. El archivo necesita al menos las columnas fecha, comercio y monto; si trae los últimos cuatro dígitos de la tarjeta, el cruce es más preciso.</w:t>
      </w:r>
    </w:p>
    <w:p>
      <w:pPr>
        <w:jc w:val="both"/>
        <w:spacing w:after="120"/>
      </w:pPr>
      <w:r>
        <w:rPr>
          <w:sz w:val="22"/>
          <w:szCs w:val="22"/>
        </w:rPr>
        <w:t xml:space="preserve">Reimportar el mismo archivo no duplica: cada línea se identifica por fecha, comercio, tarjeta e importe.</w:t>
      </w:r>
    </w:p>
    <w:p>
      <w:pPr/>
      <w:r>
        <w:rPr>
          <w:color w:val="666666"/>
          <w:sz w:val="18"/>
          <w:szCs w:val="18"/>
          <w:i w:val="1"/>
          <w:iCs w:val="1"/>
        </w:rPr>
        <w:t xml:space="preserve">Resultado del cruce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Estado del cargo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Qué hacer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Conciliado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Nada. Queda listo para imputar.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Desvío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Enviar a revalidar: vuelve al gerente por el árbol de Suscripciones.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Sin identificar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Asociar a una suscripción existente, marcar A regularizar si es gasto real sin orden, o descartar si no es una suscripción.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En re-aprobación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Esperando la respuesta del gerente. Cuando autoriza, el cargo pasa a conciliado.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 regularizar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Hay que emitir la suscripción o dar de baja el servicio.</w:t>
            </w:r>
          </w:p>
        </w:tc>
      </w:tr>
    </w:tbl>
    <w:p/>
    <w:p>
      <w:pPr>
        <w:pStyle w:val="Heading2"/>
      </w:pPr>
      <w:bookmarkStart w:id="6" w:name="_Toc6"/>
      <w:r>
        <w:t>6. Cómo aprende el cruce</w:t>
      </w:r>
      <w:bookmarkEnd w:id="6"/>
    </w:p>
    <w:p>
      <w:pPr>
        <w:jc w:val="both"/>
        <w:spacing w:after="120"/>
      </w:pPr>
      <w:r>
        <w:rPr>
          <w:sz w:val="22"/>
          <w:szCs w:val="22"/>
        </w:rPr>
        <w:t xml:space="preserve">El emisor informa el comercio con su propia nomenclatura: "ADOBE *CREATIVE CLOU 4085078188 IE" para lo que en la orden figura como Adobe. El sistema limpia la pasarela de cobro, los números de trámite y los sufijos societarios, y compara contra el nombre del servicio y la razón social del proveedor.</w:t>
      </w:r>
    </w:p>
    <w:p>
      <w:pPr>
        <w:jc w:val="both"/>
        <w:spacing w:after="120"/>
      </w:pPr>
      <w:r>
        <w:rPr>
          <w:sz w:val="22"/>
          <w:szCs w:val="22"/>
        </w:rPr>
        <w:t xml:space="preserve">Cuando alguien asocia un cargo a mano, ese comercio queda guardado como alias. Al mes siguiente el mismo cargo se resuelve solo. Es el mecanismo que hace que la conciliación sea cada vez más rápida.</w:t>
      </w:r>
    </w:p>
    <w:p>
      <w:pPr>
        <w:numPr>
          <w:ilvl w:val="0"/>
          <w:numId w:val=""/>
        </w:numPr>
      </w:pPr>
      <w:r>
        <w:rPr/>
        <w:t xml:space="preserve">Coincidencia de texto entre el comercio y el servicio o el proveedor.</w:t>
      </w:r>
    </w:p>
    <w:p>
      <w:pPr>
        <w:numPr>
          <w:ilvl w:val="0"/>
          <w:numId w:val=""/>
        </w:numPr>
      </w:pPr>
      <w:r>
        <w:rPr/>
        <w:t xml:space="preserve">La misma tarjeta suma confianza; una tarjeta distinta descarta la coincidencia.</w:t>
      </w:r>
    </w:p>
    <w:p>
      <w:pPr>
        <w:numPr>
          <w:ilvl w:val="0"/>
          <w:numId w:val=""/>
        </w:numPr>
      </w:pPr>
      <w:r>
        <w:rPr/>
        <w:t xml:space="preserve">Un importe dentro de la tolerancia también suma.</w:t>
      </w:r>
    </w:p>
    <w:p/>
    <w:p>
      <w:pPr>
        <w:pStyle w:val="Heading2"/>
      </w:pPr>
      <w:bookmarkStart w:id="7" w:name="_Toc7"/>
      <w:r>
        <w:t>7. Quién hace qué</w:t>
      </w:r>
      <w:bookmarkEnd w:id="7"/>
    </w:p>
    <w:p>
      <w:pPr/>
      <w:r>
        <w:rPr>
          <w:color w:val="666666"/>
          <w:sz w:val="18"/>
          <w:szCs w:val="18"/>
          <w:i w:val="1"/>
          <w:iCs w:val="1"/>
        </w:rPr>
        <w:t xml:space="preserve">Responsabilidades</w:t>
      </w:r>
    </w:p>
    <w:tbl>
      <w:tblGrid>
        <w:gridCol w:w="2800" w:type="dxa"/>
        <w:gridCol w:w="28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AAAAAA"/>
          <w:left w:val="single" w:sz="6" w:color="AAAAAA"/>
          <w:right w:val="single" w:sz="6" w:color="AAAAAA"/>
          <w:bottom w:val="single" w:sz="6" w:color="AAAAAA"/>
          <w:insideH w:val="single" w:sz="6" w:color="AAAAAA"/>
          <w:insideV w:val="single" w:sz="6" w:color="AAAAAA"/>
        </w:tblBorders>
      </w:tblPr>
      <w:tr>
        <w:trPr/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Rol</w:t>
            </w:r>
          </w:p>
        </w:tc>
        <w:tc>
          <w:tcPr>
            <w:tcW w:w="2800" w:type="dxa"/>
            <w:shd w:val="clear" w:fill="2E75B6"/>
            <w:noWrap/>
          </w:tcPr>
          <w:p>
            <w:pPr/>
            <w:r>
              <w:rPr>
                <w:color w:val="FFFFFF"/>
                <w:sz w:val="20"/>
                <w:szCs w:val="20"/>
                <w:b w:val="1"/>
                <w:bCs w:val="1"/>
              </w:rPr>
              <w:t xml:space="preserve">Responsabilidad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Solicitante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Pide la suscripción y justifica para qué.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Dueño del servicio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Responde si el servicio sigue en uso. Sin dueño asignado no hay a quién preguntarle en la renovación.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Gerente del sector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Autoriza el alta y las revalidaciones por desvío de su área.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Compras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Carga la suscripción, mantiene el maestro de tarjetas y los aprobadores.</w:t>
            </w:r>
          </w:p>
        </w:tc>
      </w:tr>
      <w:tr>
        <w:trPr/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Administración</w:t>
            </w:r>
          </w:p>
        </w:tc>
        <w:tc>
          <w:tcPr>
            <w:tcW w:w="2800" w:type="dxa"/>
            <w:noWrap/>
          </w:tcPr>
          <w:p>
            <w:pPr/>
            <w:r>
              <w:rPr>
                <w:sz w:val="20"/>
                <w:szCs w:val="20"/>
              </w:rPr>
              <w:t xml:space="preserve">Importa el resumen, concilia, imputa y cierra el período.</w:t>
            </w:r>
          </w:p>
        </w:tc>
      </w:tr>
    </w:tbl>
    <w:p/>
    <w:p>
      <w:pPr>
        <w:pStyle w:val="Heading2"/>
      </w:pPr>
      <w:bookmarkStart w:id="8" w:name="_Toc8"/>
      <w:r>
        <w:t>8. Configuración previa</w:t>
      </w:r>
      <w:bookmarkEnd w:id="8"/>
    </w:p>
    <w:p>
      <w:pPr>
        <w:jc w:val="both"/>
        <w:spacing w:after="120"/>
      </w:pPr>
      <w:r>
        <w:rPr>
          <w:sz w:val="22"/>
          <w:szCs w:val="22"/>
        </w:rPr>
        <w:t xml:space="preserve">Dos cosas hay que dejar cargadas antes de usar el módulo. Sin la primera no se puede enviar nada a aprobación.</w:t>
      </w:r>
    </w:p>
    <w:p>
      <w:pPr>
        <w:numPr>
          <w:ilvl w:val="0"/>
          <w:numId w:val=""/>
        </w:numPr>
      </w:pPr>
      <w:r>
        <w:rPr/>
        <w:t xml:space="preserve">Aprobadores: un gerente por centro de costo, en Compras › Suscripciones › Aprobadores. Es el nivel único del árbol.</w:t>
      </w:r>
    </w:p>
    <w:p>
      <w:pPr>
        <w:numPr>
          <w:ilvl w:val="0"/>
          <w:numId w:val=""/>
        </w:numPr>
      </w:pPr>
      <w:r>
        <w:rPr/>
        <w:t xml:space="preserve">Tarjetas corporativas: etiqueta, últimos cuatro dígitos y responsable. Para poder imputar hacen falta además la cuenta de caja y el tipo de transacción de egreso.</w:t>
      </w:r>
    </w:p>
    <w:p/>
    <w:p>
      <w:pPr>
        <w:pStyle w:val="Heading2"/>
      </w:pPr>
      <w:bookmarkStart w:id="9" w:name="_Toc9"/>
      <w:r>
        <w:t>9. Qué mirar cuando ya está en marcha</w:t>
      </w:r>
      <w:bookmarkEnd w:id="9"/>
    </w:p>
    <w:p>
      <w:pPr>
        <w:jc w:val="both"/>
        <w:spacing w:after="120"/>
      </w:pPr>
      <w:r>
        <w:rPr>
          <w:sz w:val="22"/>
          <w:szCs w:val="22"/>
        </w:rPr>
        <w:t xml:space="preserve">Los reportes del módulo están pensados para tres preguntas concretas.</w:t>
      </w:r>
    </w:p>
    <w:p>
      <w:pPr>
        <w:numPr>
          <w:ilvl w:val="0"/>
          <w:numId w:val=""/>
        </w:numPr>
      </w:pPr>
      <w:r>
        <w:rPr/>
        <w:t xml:space="preserve">Cobertura: si baja, hay gasto de tarjeta que se está escapando del circuito.</w:t>
      </w:r>
    </w:p>
    <w:p>
      <w:pPr>
        <w:numPr>
          <w:ilvl w:val="0"/>
          <w:numId w:val=""/>
        </w:numPr>
      </w:pPr>
      <w:r>
        <w:rPr/>
        <w:t xml:space="preserve">Gasto recurrente sin orden: comercios que aparecen mes a mes sin ninguna suscripción detrás. Son las candidatas a suscripción fantasma.</w:t>
      </w:r>
    </w:p>
    <w:p>
      <w:pPr>
        <w:numPr>
          <w:ilvl w:val="0"/>
          <w:numId w:val=""/>
        </w:numPr>
      </w:pPr>
      <w:r>
        <w:rPr/>
        <w:t xml:space="preserve">Suscripciones sin dueño: nadie a quien preguntarle si el servicio sigue en uso.</w:t>
      </w:r>
    </w:p>
    <w:p>
      <w:pPr>
        <w:numPr>
          <w:ilvl w:val="0"/>
          <w:numId w:val=""/>
        </w:numPr>
      </w:pPr>
      <w:r>
        <w:rPr/>
        <w:t xml:space="preserve">Vencimientos a 60 días: la ventana para decidir antes de que se renueve solo.</w:t>
      </w:r>
    </w:p>
    <w:p/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rFonts w:ascii="Calibri" w:hAnsi="Calibri" w:eastAsia="Calibri" w:cs="Calibri"/>
      <w:color w:val="1F4E79"/>
      <w:sz w:val="44"/>
      <w:szCs w:val="44"/>
      <w:b w:val="1"/>
      <w:bCs w:val="1"/>
    </w:rPr>
  </w:style>
  <w:style w:type="paragraph" w:styleId="Heading2">
    <w:link w:val="Heading2Char"/>
    <w:name w:val="heading 2"/>
    <w:rPr>
      <w:rFonts w:ascii="Calibri" w:hAnsi="Calibri" w:eastAsia="Calibri" w:cs="Calibri"/>
      <w:color w:val="2E75B6"/>
      <w:sz w:val="28"/>
      <w:szCs w:val="28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2026-09-06T15:15:40-03:00</dcterms:created>
  <dcterms:modified xsi:type="dcterms:W3CDTF">2026-09-06T15:15:40-03:00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