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Cuentas a pagar / Propuesta de pagos y tesorería AP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1.1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Introducción: qué tienen en las manos</w:t>
      </w:r>
    </w:p>
    <w:p>
      <w:pPr/>
      <w:r>
        <w:rPr>
          <w:sz w:val="22"/>
          <w:szCs w:val="22"/>
        </w:rPr>
        <w:t xml:space="preserve">2. Visión del circuito premium</w:t>
      </w:r>
    </w:p>
    <w:p>
      <w:pPr/>
      <w:r>
        <w:rPr>
          <w:sz w:val="22"/>
          <w:szCs w:val="22"/>
        </w:rPr>
        <w:t xml:space="preserve">3. Conceptos básicos</w:t>
      </w:r>
    </w:p>
    <w:p>
      <w:pPr/>
      <w:r>
        <w:rPr>
          <w:sz w:val="22"/>
          <w:szCs w:val="22"/>
        </w:rPr>
        <w:t xml:space="preserve">4. Roles, permisos y modos</w:t>
      </w:r>
    </w:p>
    <w:p>
      <w:pPr/>
      <w:r>
        <w:rPr>
          <w:sz w:val="22"/>
          <w:szCs w:val="22"/>
        </w:rPr>
        <w:t xml:space="preserve">5. Configuración Premium / Light</w:t>
      </w:r>
    </w:p>
    <w:p>
      <w:pPr/>
      <w:r>
        <w:rPr>
          <w:sz w:val="22"/>
          <w:szCs w:val="22"/>
        </w:rPr>
        <w:t xml:space="preserve">6. Listado de propuestas</w:t>
      </w:r>
    </w:p>
    <w:p>
      <w:pPr/>
      <w:r>
        <w:rPr>
          <w:sz w:val="22"/>
          <w:szCs w:val="22"/>
        </w:rPr>
        <w:t xml:space="preserve">7. Armar una propuesta (desde la deuda)</w:t>
      </w:r>
    </w:p>
    <w:p>
      <w:pPr/>
      <w:r>
        <w:rPr>
          <w:sz w:val="22"/>
          <w:szCs w:val="22"/>
        </w:rPr>
        <w:t xml:space="preserve">8. Autorización de pagos (el corazón premium)</w:t>
      </w:r>
    </w:p>
    <w:p>
      <w:pPr/>
      <w:r>
        <w:rPr>
          <w:sz w:val="22"/>
          <w:szCs w:val="22"/>
        </w:rPr>
        <w:t xml:space="preserve">9. Instrumentos y exclusiones post-aprobación</w:t>
      </w:r>
    </w:p>
    <w:p>
      <w:pPr/>
      <w:r>
        <w:rPr>
          <w:sz w:val="22"/>
          <w:szCs w:val="22"/>
        </w:rPr>
        <w:t xml:space="preserve">10. Ejecutar el lote → órdenes de pago</w:t>
      </w:r>
    </w:p>
    <w:p>
      <w:pPr/>
      <w:r>
        <w:rPr>
          <w:sz w:val="22"/>
          <w:szCs w:val="22"/>
        </w:rPr>
        <w:t xml:space="preserve">11. Lote bancario y envío al banco</w:t>
      </w:r>
    </w:p>
    <w:p>
      <w:pPr/>
      <w:r>
        <w:rPr>
          <w:sz w:val="22"/>
          <w:szCs w:val="22"/>
        </w:rPr>
        <w:t xml:space="preserve">12. Clearing bancario (OP ↔ Interbanking)</w:t>
      </w:r>
    </w:p>
    <w:p>
      <w:pPr/>
      <w:r>
        <w:rPr>
          <w:sz w:val="22"/>
          <w:szCs w:val="22"/>
        </w:rPr>
        <w:t xml:space="preserve">13. Proyección de pagos (reporte)</w:t>
      </w:r>
    </w:p>
    <w:p>
      <w:pPr/>
      <w:r>
        <w:rPr>
          <w:sz w:val="22"/>
          <w:szCs w:val="22"/>
        </w:rPr>
        <w:t xml:space="preserve">14. Cockpit, cash position y forecast</w:t>
      </w:r>
    </w:p>
    <w:p>
      <w:pPr/>
      <w:r>
        <w:rPr>
          <w:sz w:val="22"/>
          <w:szCs w:val="22"/>
        </w:rPr>
        <w:t xml:space="preserve">15. Excepciones: reabrir, parcial y delta</w:t>
      </w:r>
    </w:p>
    <w:p>
      <w:pPr/>
      <w:r>
        <w:rPr>
          <w:sz w:val="22"/>
          <w:szCs w:val="22"/>
        </w:rPr>
        <w:t xml:space="preserve">16. Auditoría y compliance</w:t>
      </w:r>
    </w:p>
    <w:p>
      <w:pPr/>
      <w:r>
        <w:rPr>
          <w:sz w:val="22"/>
          <w:szCs w:val="22"/>
        </w:rPr>
        <w:t xml:space="preserve">17. Relación con OP, SP e IE</w:t>
      </w:r>
    </w:p>
    <w:p>
      <w:pPr/>
      <w:r>
        <w:rPr>
          <w:sz w:val="22"/>
          <w:szCs w:val="22"/>
        </w:rPr>
        <w:t xml:space="preserve">18. Buenas prácticas y preguntas frecuentes</w:t>
      </w:r>
    </w:p>
    <w:p>
      <w:r>
        <w:br w:type="page"/>
      </w:r>
    </w:p>
    <w:p>
      <w:pPr>
        <w:pStyle w:val="Heading2"/>
      </w:pPr>
      <w:bookmarkStart w:id="1" w:name="_Toc1"/>
      <w:r>
        <w:t>1. Introducción: qué tienen en las manos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el circuito de Cuentas a pagar / pagos a proveedores de Anita ERP. No es “cargar una orden de pago suelta”: es un proceso de gobierno de caja alineado a lo que hacen sistemas como SAP (propuesta F110), Oracle (Payment Process Request) y la práctica operativa de proyecciones tipo AGG.</w:t>
      </w:r>
    </w:p>
    <w:p>
      <w:pPr>
        <w:jc w:val="both"/>
        <w:spacing w:after="120"/>
      </w:pPr>
      <w:r>
        <w:rPr>
          <w:sz w:val="22"/>
          <w:szCs w:val="22"/>
        </w:rPr>
        <w:t xml:space="preserve">La idea central: primero se analiza la deuda (proyección), después se arma y se aprueba qué se va a pagar (el lote), y recién entonces el sistema genera las órdenes de pago, el archivo bancario y la conciliación. Así la autorización es sobre la decisión de desembolso, no sobre cada factura aislada ni sobre cada OP.</w:t>
      </w:r>
    </w:p>
    <w:p>
      <w:pPr>
        <w:jc w:val="both"/>
        <w:spacing w:after="120"/>
      </w:pPr>
      <w:r>
        <w:rPr>
          <w:sz w:val="22"/>
          <w:szCs w:val="22"/>
        </w:rPr>
        <w:t xml:space="preserve">Pantallas principales del circuito: Proyección de pagos, Precarga y comprobantes de proveedor, Propuesta de pagos, Órdenes de pago, Clearing bancario, Cash position y Cockpit de tesorería. También conviven Solicitud de pago (SP) e Ingreso/Egreso (IE) como canales complementarios.</w:t>
      </w:r>
    </w:p>
    <w:p>
      <w:pPr>
        <w:jc w:val="both"/>
        <w:spacing w:after="120"/>
      </w:pPr>
      <w:r>
        <w:rPr>
          <w:sz w:val="22"/>
          <w:szCs w:val="22"/>
        </w:rPr>
        <w:t xml:space="preserve">Menú: Compras → Cuentas a pagar → Precarga · Comprobantes · Pago a proveedores · Propuesta de pagos · Reportes (Errores de precarga, Proyección de pagos). Rutas típicas: `compras/proyeccion-pagos`, `compras/propuesta-pago`, `compras/pagoproveedor`, `compras/tesoreria`, `compras/clearing-bancario`. Las acciones visibles dependen de los permisos de su usuario (roles Enc-pagos / Op-Pagos).</w:t>
      </w:r>
    </w:p>
    <w:p>
      <w:pPr>
        <w:jc w:val="both"/>
        <w:spacing w:after="120"/>
      </w:pPr>
      <w:r>
        <w:rPr>
          <w:sz w:val="22"/>
          <w:szCs w:val="22"/>
        </w:rPr>
        <w:t xml:space="preserve">Este documento está en el Centro de ayuda del ERP. Úselo como guía operativa del día a día; el asistente de IA también puede citar extractos cuando pregunte cómo proyectar, autorizar o ejecutar un lote.</w:t>
      </w:r>
    </w:p>
    <w:p>
      <w:pPr>
        <w:numPr>
          <w:ilvl w:val="0"/>
          <w:numId w:val=""/>
        </w:numPr>
      </w:pPr>
      <w:r>
        <w:rPr/>
        <w:t xml:space="preserve">Premium = árbol de aprobación sobre el lote + instrumentos + lote bancario + clearing + cockpit.</w:t>
      </w:r>
    </w:p>
    <w:p>
      <w:pPr>
        <w:numPr>
          <w:ilvl w:val="0"/>
          <w:numId w:val=""/>
        </w:numPr>
      </w:pPr>
      <w:r>
        <w:rPr/>
        <w:t xml:space="preserve">Light = misma propuesta y ejecución, pero la autorización del lote puede auto-aprobarse sin árbol (configurable por empresa).</w:t>
      </w:r>
    </w:p>
    <w:p>
      <w:pPr>
        <w:numPr>
          <w:ilvl w:val="0"/>
          <w:numId w:val=""/>
        </w:numPr>
      </w:pPr>
      <w:r>
        <w:rPr/>
        <w:t xml:space="preserve">La OP unitaria sin propuesta sigue existiendo si la empresa lo permite; es el bypass, no el camino premium.</w:t>
      </w:r>
    </w:p>
    <w:p>
      <w:pPr>
        <w:numPr>
          <w:ilvl w:val="0"/>
          <w:numId w:val=""/>
        </w:numPr>
      </w:pPr>
      <w:r>
        <w:rPr/>
        <w:t xml:space="preserve">La proyección de pagos es el informe analítico de deuda abierta (equivalente Anita l-proy); alimenta la decisión de armar el lote.</w:t>
      </w:r>
    </w:p>
    <w:p/>
    <w:p>
      <w:pPr>
        <w:pStyle w:val="Heading2"/>
      </w:pPr>
      <w:bookmarkStart w:id="2" w:name="_Toc2"/>
      <w:r>
        <w:t>2. Visión del circuito premium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El circuito recomendado es una secuencia clara. Cada paso tiene dueño (tesorería, aprobador, banco) y deja rastro auditable.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De la deuda al banco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Resultado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0. Proyectar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Reportes → Proyección de pagos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Pagos / 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Deuda abierta por tramos / conceptos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1. Armar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Propuesta de pagos → Nueva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 con deudas por vencimiento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2. Ajustar montos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Inclusiones, parciales, medios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3. Enviar a aprobación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Enviar / Autorizar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 PP o auto-autorización Light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4. Firmar el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 de aprobación (mails/links)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Firmantes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AUTORIZADA + monto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5. Instrumentos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(caja/cuenta/chequera)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Cómo se va a pagar sin bajar el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6. Ejecutar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→ 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 por proveedor+medio + retenciones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7. Archivo banco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 / Exportar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CSV (o driver de convenio)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8. Marcar enviado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Marcar enviado banco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 bloqueadas contra re-propuesta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9. 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Clearing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Match OP ↔ Interbanking / extracto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10. Seguimiento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 / Cash / Auditoría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Finanzas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Posición, forecast y compliance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Empiece por la proyección: sabe cuánto vence, qué está pendiente de aprobación y qué adelantos tiene aplicados.</w:t>
      </w:r>
    </w:p>
    <w:p>
      <w:pPr>
        <w:numPr>
          <w:ilvl w:val="0"/>
          <w:numId w:val=""/>
        </w:numPr>
      </w:pPr>
      <w:r>
        <w:rPr/>
        <w:t xml:space="preserve">No saltee la aprobación del lote “porque después controlo en la OP”: el valor premium está en aprobar el desembolso completo.</w:t>
      </w:r>
    </w:p>
    <w:p>
      <w:pPr>
        <w:numPr>
          <w:ilvl w:val="0"/>
          <w:numId w:val=""/>
        </w:numPr>
      </w:pPr>
      <w:r>
        <w:rPr/>
        <w:t xml:space="preserve">Si algo falla en la ejecución, el sistema puede dejar EJECUTADA_PARCIAL: use reopen parcial o propuesta delta.</w:t>
      </w:r>
    </w:p>
    <w:p/>
    <w:p>
      <w:pPr>
        <w:pStyle w:val="Heading2"/>
      </w:pPr>
      <w:bookmarkStart w:id="3" w:name="_Toc3"/>
      <w:r>
        <w:t>3. Conceptos básicos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Estos términos aparecen en pantallas, badges y auditoría. Conviene manejarlos antes de operar.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del módulo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Propuesta (PP)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de pagos armado desde la deuda por vencimiento.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Línea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Cada deuda incluida (o excluida) en la propuesta.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propuesto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Cuánto se quiere pagar de esa deuda (puede ser parcial).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autorizado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Tope aprobado por el árbol; no baja al excluir líneas después.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 PP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Circuito de firmas por nivel/monto sobre la propuesta.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Premium / 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 árbol obligatorio vs auto-autorización configurable.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de pago a proveedor generada al ejecutar el lote.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Instrumento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Caja, cuenta de egreso, chequera, CBU/alias del proveedor.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Archivo de transferencias (CSV genérico o convenio).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marcado como enviado al banco; bloquea esas OP.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Emparejar OP con vouchers/movimientos Interbanking.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Workbench unificado: propuestas + SP + IE + KPIs.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Cash position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Saldos IB vs deuda vencida y propuestas abiertas.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Forecast 7/15/30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Proyección de egresos por ventanas de vencimiento (cockpit).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Proyección de pagos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de deuda abierta por tramos (Anita l-proy); menú Cuentas a pagar → Reportes.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cash flow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Conceptogasto (Anita concoper): se asigna a la cuenta contable y al pago.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 con lo pendiente/excluido de otra.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Solicitud de pago (gastos/conceptos); canal distinto a PP.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Ingreso/Egreso de caja (TRA, canje, tesorería omnibus).</w:t>
            </w:r>
          </w:p>
        </w:tc>
      </w:tr>
    </w:tbl>
    <w:p/>
    <w:p>
      <w:pPr>
        <w:pStyle w:val="Heading2"/>
      </w:pPr>
      <w:bookmarkStart w:id="4" w:name="_Toc4"/>
      <w:r>
        <w:t>4. Roles, permisos y modos</w:t>
      </w:r>
      <w:bookmarkEnd w:id="4"/>
    </w:p>
    <w:p>
      <w:pPr>
        <w:jc w:val="both"/>
        <w:spacing w:after="120"/>
      </w:pPr>
      <w:r>
        <w:rPr>
          <w:sz w:val="22"/>
          <w:szCs w:val="22"/>
        </w:rPr>
        <w:t xml:space="preserve">No todos ven los mismos botones. Si falta una acción, suele ser permiso o estado incorrecto — no un “bug”. Los roles Enc-pagos y Op-Pagos operan el circuito de Cuentas a pagar junto con administrador.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más usados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(slug)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Proyección de pagos (consultar / PDF / Excel / CSV)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listado, PDF, cash, cockpit, auditoría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 y propuesta delta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editar-propuesta-pago / actualizar-…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Armar y ajustar el lote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enviar-aprobacion-propuesta-pago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 al árbol o autorizar Light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OP, lote, clearing, marcar enviado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borradores/rechazadas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Premium/Light por empresa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listar-pagoproveedor / crear-… / editar-…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Órdenes de pago a proveedores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 / listar-ingresos-egresos-caja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Filas SP/IE en el cockpit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Premium vs Light (por empresa)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Al enviar aprobación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 usarlo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Premium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Dispara árbol PP; queda EN_APROBACION hasta firmar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Gobierno formal de desembolsos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 el lote sin árbol (botón Autorizar light)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Empresas chicas o circuitos ágiles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La configuración se edita en Compras → Configuración propuesta de pagos (`compras/configuracion-propuesta-pago`). Elija la empresa, el modo y si se permiten OP sin propuesta.</w:t>
      </w:r>
    </w:p>
    <w:p>
      <w:pPr>
        <w:pStyle w:val="Heading2"/>
      </w:pPr>
      <w:bookmarkStart w:id="5" w:name="_Toc5"/>
      <w:r>
        <w:t>5. Configuración Premium / Light</w:t>
      </w:r>
      <w:bookmarkEnd w:id="5"/>
    </w:p>
    <w:p>
      <w:pPr>
        <w:jc w:val="both"/>
        <w:spacing w:after="120"/>
      </w:pPr>
      <w:r>
        <w:rPr>
          <w:sz w:val="22"/>
          <w:szCs w:val="22"/>
        </w:rPr>
        <w:t xml:space="preserve">Pantalla: Configuración propuesta de pagos. Similar al ABM de configuración de comprobante proveedor: una ficha por empresa.</w:t>
      </w:r>
    </w:p>
    <w:p>
      <w:pPr>
        <w:jc w:val="both"/>
        <w:spacing w:after="120"/>
      </w:pPr>
      <w:r>
        <w:rPr>
          <w:sz w:val="22"/>
          <w:szCs w:val="22"/>
        </w:rPr>
        <w:t xml:space="preserve">Defina: modo Premium u Light, si exige árbol, si al ejecutar la OP nace CONFIRMADA, si se calculan retenciones al ejecutar, y si se permiten OP sueltas sin propuesta.</w:t>
      </w:r>
    </w:p>
    <w:p>
      <w:pPr>
        <w:jc w:val="both"/>
        <w:spacing w:after="120"/>
      </w:pPr>
      <w:r>
        <w:rPr>
          <w:sz w:val="22"/>
          <w:szCs w:val="22"/>
        </w:rPr>
        <w:t xml:space="preserve">Cambiar a Premium no “rompe” propuestas ya autorizadas; aplica a los próximos envíos a aprobación.</w:t>
      </w:r>
    </w:p>
    <w:p>
      <w:pPr>
        <w:numPr>
          <w:ilvl w:val="0"/>
          <w:numId w:val=""/>
        </w:numPr>
      </w:pPr>
      <w:r>
        <w:rPr/>
        <w:t xml:space="preserve">Revise con Finanzas qué empresas deben firmar el lote y cuáles pueden ir Light.</w:t>
      </w:r>
    </w:p>
    <w:p>
      <w:pPr>
        <w:numPr>
          <w:ilvl w:val="0"/>
          <w:numId w:val=""/>
        </w:numPr>
      </w:pPr>
      <w:r>
        <w:rPr/>
        <w:t xml:space="preserve">El bridge/clearing Interbanking se habilita por variable de entorno (administración técnica); el operador lo usa desde Clearing.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Premium / 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Ficha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Activa o desactiva el árbol PP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Permite OP sin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Ficha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 bypass de OP unitaria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</w:tr>
    </w:tbl>
    <w:p/>
    <w:p>
      <w:pPr>
        <w:pStyle w:val="Heading2"/>
      </w:pPr>
      <w:bookmarkStart w:id="6" w:name="_Toc6"/>
      <w:r>
        <w:t>6. Listado de propuestas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Pantalla: Propuesta de pagos. Ve el ID, fecha, empresa, estado, monto total y autorizado.</w:t>
      </w:r>
    </w:p>
    <w:p>
      <w:pPr>
        <w:jc w:val="both"/>
        <w:spacing w:after="120"/>
      </w:pPr>
      <w:r>
        <w:rPr>
          <w:sz w:val="22"/>
          <w:szCs w:val="22"/>
        </w:rPr>
        <w:t xml:space="preserve">Use filtros de empresa/estado y la exportación PDF/Excel/CSV (respeta toda la consulta, no solo la página).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aquí puede ir al Cockpit, Cash position y Config. El lápiz abre la propuesta.</w:t>
      </w:r>
    </w:p>
    <w:p>
      <w:pPr>
        <w:numPr>
          <w:ilvl w:val="0"/>
          <w:numId w:val=""/>
        </w:numPr>
      </w:pPr>
      <w:r>
        <w:rPr/>
        <w:t xml:space="preserve">Estados abiertos habituales: BORRADOR, EN_APROBACION, AUTORIZADA, EJECUTADA_PARCIAL.</w:t>
      </w:r>
    </w:p>
    <w:p>
      <w:pPr>
        <w:numPr>
          <w:ilvl w:val="0"/>
          <w:numId w:val=""/>
        </w:numPr>
      </w:pPr>
      <w:r>
        <w:rPr/>
        <w:t xml:space="preserve">EJECUTADA es el cierre feliz del lote; ANULADA/RECHAZADA salen del circuito activo.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y acciones del listado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/ 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Restringe propuestas por empresa, estado u otros criterios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PDF/Excel/CSV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 exportación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Baja el listado completo con los filtros activos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en una solapa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lote desde deuda por vencimiento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 / Cash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 al workbench o a la posición de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 Premium/Light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de aprobación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(lápiz)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editar-propuesta-pago</w:t>
            </w:r>
          </w:p>
        </w:tc>
      </w:tr>
    </w:tbl>
    <w:p/>
    <w:p>
      <w:pPr>
        <w:pStyle w:val="Heading2"/>
      </w:pPr>
      <w:bookmarkStart w:id="7" w:name="_Toc7"/>
      <w:r>
        <w:t>7. Armar una propuesta (desde la deuda)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Pulse Nueva propuesta. Indique empresa, fecha del lote y el rango de vencimientos que quiere incluir. Opcional: detalle, moneda, caja/cuenta/chequera (también se pueden completar después de autorizar).</w:t>
      </w:r>
    </w:p>
    <w:p>
      <w:pPr>
        <w:jc w:val="both"/>
        <w:spacing w:after="120"/>
      </w:pPr>
      <w:r>
        <w:rPr>
          <w:sz w:val="22"/>
          <w:szCs w:val="22"/>
        </w:rPr>
        <w:t xml:space="preserve">Al guardar, el sistema trae la deuda abierta de proveedores en ese rango (cuenta corriente con saldo) y arma la grilla: proveedor, comprobante, vencimiento, medio de pago (M.Pago), detalle, buckets vencidos / a vencer, monto propuesto.</w:t>
      </w:r>
    </w:p>
    <w:p>
      <w:pPr>
        <w:jc w:val="both"/>
        <w:spacing w:after="120"/>
      </w:pPr>
      <w:r>
        <w:rPr>
          <w:sz w:val="22"/>
          <w:szCs w:val="22"/>
        </w:rPr>
        <w:t xml:space="preserve">En BORRADOR puede: cambiar montos, desmarcar líneas (excluir), rearmar desde deuda, y guardar. El total del lote se recalcula con las líneas incluidas.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típicas de la grilla (estilo proyección)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mirarla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Incluir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está tildada entra al lote y al monto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Proveedor /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Qué deuda se está pagando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Vencimiento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Prioridad de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M.Pago / Detalle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Cheque, transferencia, etc.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Vencidos / A vencer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Clasificación temporal del lote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propuesto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Puede ser menor al saldo (pago parcial)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(override)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de egreso distinta a la de cabecera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No invente deudas: si falta un comprobante, revise vencimientos/filtros o la CC del proveedor.</w:t>
      </w:r>
    </w:p>
    <w:p>
      <w:pPr>
        <w:numPr>
          <w:ilvl w:val="0"/>
          <w:numId w:val=""/>
        </w:numPr>
      </w:pPr>
      <w:r>
        <w:rPr/>
        <w:t xml:space="preserve">Rearmar líneas reemplaza la grilla: úselo solo si está seguro.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Rango de vencimientos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alta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qué deuda entra al armar el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Incluir / Monto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Cuerpo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 y ajusta qué se paga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Rearmar líneas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Checkbox al editar 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Reemplaza la grilla desde la deuda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actualizar-propuesta-pago</w:t>
            </w:r>
          </w:p>
        </w:tc>
      </w:tr>
    </w:tbl>
    <w:p/>
    <w:p>
      <w:pPr>
        <w:pStyle w:val="Heading2"/>
      </w:pPr>
      <w:bookmarkStart w:id="8" w:name="_Toc8"/>
      <w:r>
        <w:t>8. Autorización de pagos (el corazón premium)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Cuando el lote está listo en BORRADOR (o RECHAZADA), use Enviar a aprobación (Premium) o Autorizar (Light).</w:t>
      </w:r>
    </w:p>
    <w:p>
      <w:pPr>
        <w:jc w:val="both"/>
        <w:spacing w:after="120"/>
      </w:pPr>
      <w:r>
        <w:rPr>
          <w:sz w:val="22"/>
          <w:szCs w:val="22"/>
        </w:rPr>
        <w:t xml:space="preserve">En Premium el sistema dispara el árbol de tipo PP: busca el árbol configurado por empresa y monto del lote, crea movimientos a firmantes y envía los links de aprobación/rechazo (mismo esquema de mails que OC/requisiciones). Mientras tanto la propuesta queda EN_APROBACION.</w:t>
      </w:r>
    </w:p>
    <w:p>
      <w:pPr>
        <w:jc w:val="both"/>
        <w:spacing w:after="120"/>
      </w:pPr>
      <w:r>
        <w:rPr>
          <w:sz w:val="22"/>
          <w:szCs w:val="22"/>
        </w:rPr>
        <w:t xml:space="preserve">Cada firmante aprueba o rechaza su nivel. Al completar el circuito, la propuesta pasa a AUTORIZADA y se fija el monto autorizado (snapshot). Ese monto es el techo de gobierno: si después excluye líneas, el autorizado no baja solo por eso.</w:t>
      </w:r>
    </w:p>
    <w:p>
      <w:pPr>
        <w:jc w:val="both"/>
        <w:spacing w:after="120"/>
      </w:pPr>
      <w:r>
        <w:rPr>
          <w:sz w:val="22"/>
          <w:szCs w:val="22"/>
        </w:rPr>
        <w:t xml:space="preserve">En Light no hay firmante: el botón autoriza el lote de inmediato. Sigue siendo una decisión explícita de “este lote se paga”, no un alta silenciosa de OP.</w:t>
      </w:r>
    </w:p>
    <w:p>
      <w:pPr>
        <w:jc w:val="both"/>
        <w:spacing w:after="120"/>
      </w:pPr>
      <w:r>
        <w:rPr>
          <w:sz w:val="22"/>
          <w:szCs w:val="22"/>
        </w:rPr>
        <w:t xml:space="preserve">Importante: la aprobación es del lote completo, no de cada renglón de deuda ni de cada OP futura. Eso es exactamente lo que buscan F110 / PPR / AGG.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Qué ve cada rol en la autorización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Rol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Arma el lote y lo envía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propuesta → Enviar a aprobación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Firmante nivel 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Aprueba/rechaza según monto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Mail / link del árbol PP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Finanzas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Audita quién firmó qué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Auditoría de la propuesta (PDF)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 árbol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 niveles y montos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Árbol de aprobación tipo PP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Estados de la propuesta en el tramo de aprobación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Editable; aún no pedida la firma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EN_APROBACION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circuito de árbol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para instrumentos y ejecución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Volvió; se puede corregir y reenviar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Si el árbol no encuentra configuración para la empresa/monto, el envío falla con mensaje claro: hay que cargar el árbol PP antes de operar Premium.</w:t>
      </w:r>
    </w:p>
    <w:p>
      <w:pPr>
        <w:jc w:val="both"/>
        <w:spacing w:after="120"/>
      </w:pPr>
      <w:r>
        <w:rPr>
          <w:sz w:val="22"/>
          <w:szCs w:val="22"/>
        </w:rPr>
        <w:t xml:space="preserve">Reabrir (solo AUTORIZADA sin OP): vuelve a BORRADOR y limpia el monto autorizado. Use con criterio: invalida la firma previa.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 a aprobación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 (Premium)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Dispara árbol PP y deja EN_APROBACION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enviar-aprobacion-propuesta-pago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Autorizar (light)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 (Light)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 el lote sin firmantes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enviar-aprobacion-propuesta-pago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 (AUTORIZADA sin OP)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BORRADOR y limpia autorizado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Header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 firmas, estados, OP y lotes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</w:tbl>
    <w:p/>
    <w:p>
      <w:pPr>
        <w:pStyle w:val="Heading2"/>
      </w:pPr>
      <w:bookmarkStart w:id="9" w:name="_Toc9"/>
      <w:r>
        <w:t>9. Instrumentos y exclusiones post-aprobación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Con la propuesta AUTORIZADA puede completar caja, cuenta de egreso y chequera, y desmarcar líneas que finalmente no se pagan (exclusión soft).</w:t>
      </w:r>
    </w:p>
    <w:p>
      <w:pPr>
        <w:jc w:val="both"/>
        <w:spacing w:after="120"/>
      </w:pPr>
      <w:r>
        <w:rPr>
          <w:sz w:val="22"/>
          <w:szCs w:val="22"/>
        </w:rPr>
        <w:t xml:space="preserve">Guardar en ese estado no reabre el árbol: guarda instrumentos y exclusiones. El monto autorizado permanece como rastro de lo aprobado.</w:t>
      </w:r>
    </w:p>
    <w:p>
      <w:pPr>
        <w:jc w:val="both"/>
        <w:spacing w:after="120"/>
      </w:pPr>
      <w:r>
        <w:rPr>
          <w:sz w:val="22"/>
          <w:szCs w:val="22"/>
        </w:rPr>
        <w:t xml:space="preserve">También puede indicar cuenta por línea (multi-cuenta) cuando un proveedor sale por otra cuenta.</w:t>
      </w:r>
    </w:p>
    <w:p>
      <w:pPr>
        <w:numPr>
          <w:ilvl w:val="0"/>
          <w:numId w:val=""/>
        </w:numPr>
      </w:pPr>
      <w:r>
        <w:rPr/>
        <w:t xml:space="preserve">Cheque: el sistema puede tomar el próximo número de la chequera.</w:t>
      </w:r>
    </w:p>
    <w:p>
      <w:pPr>
        <w:numPr>
          <w:ilvl w:val="0"/>
          <w:numId w:val=""/>
        </w:numPr>
      </w:pPr>
      <w:r>
        <w:rPr/>
        <w:t xml:space="preserve">Transferencia: conviene tener CBU (y alias) en la forma de pago del proveedor.</w:t>
      </w:r>
    </w:p>
    <w:p>
      <w:pPr>
        <w:numPr>
          <w:ilvl w:val="0"/>
          <w:numId w:val=""/>
        </w:numPr>
      </w:pPr>
      <w:r>
        <w:rPr/>
        <w:t xml:space="preserve">Si falta instrumento, la OP puede nacer en PRE CARGA para completar después.</w:t>
      </w:r>
    </w:p>
    <w:p/>
    <w:p>
      <w:pPr>
        <w:pStyle w:val="Heading2"/>
      </w:pPr>
      <w:bookmarkStart w:id="10" w:name="_Toc10"/>
      <w:r>
        <w:t>10. Ejecutar el lote → órdenes de pago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Botón Ejecutar → OP. El sistema agrupa líneas incluidas pendientes por proveedor + forma de pago, calcula retenciones (si está configurado), crea las OP en pagoproveedor y marca las líneas como ejecutadas.</w:t>
      </w:r>
    </w:p>
    <w:p>
      <w:pPr>
        <w:jc w:val="both"/>
        <w:spacing w:after="120"/>
      </w:pPr>
      <w:r>
        <w:rPr>
          <w:sz w:val="22"/>
          <w:szCs w:val="22"/>
        </w:rPr>
        <w:t xml:space="preserve">Si todas las líneas salen bien: EJECUTADA. Si algunas fallan o quedan pendientes: EJECUTADA_PARCIAL.</w:t>
      </w:r>
    </w:p>
    <w:p>
      <w:pPr>
        <w:jc w:val="both"/>
        <w:spacing w:after="120"/>
      </w:pPr>
      <w:r>
        <w:rPr>
          <w:sz w:val="22"/>
          <w:szCs w:val="22"/>
        </w:rPr>
        <w:t xml:space="preserve">Tras ejecutar, normalmente se intenta el bridge/clearing y se genera el lote bancario de transferencias.</w:t>
      </w:r>
    </w:p>
    <w:p>
      <w:pPr>
        <w:jc w:val="both"/>
        <w:spacing w:after="120"/>
      </w:pPr>
      <w:r>
        <w:rPr>
          <w:sz w:val="22"/>
          <w:szCs w:val="22"/>
        </w:rPr>
        <w:t xml:space="preserve">Cada OP queda vinculada a la propuesta (`propuesta_pago_id`). Puede abrirlas desde la grilla del lote bancario o desde Órdenes de pago.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Resultados posibles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Resultado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 después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archivo, marcar enviado, seguir clearing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EJECUTADA_PARCIAL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 parcial o delta; corregir errores y re-ejecutar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Error total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Leer mensaje (instrumento, retención, período cerrado, etc.)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→ 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OP por proveedor+medio con retenciones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 lote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Arma snapshot de transferencias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archivo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CSV/driver convenio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Marcar enviado banco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Sella el lote y bloquea 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 parcial / Delta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 pendientes post-ejecución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 / crear-propuesta-pago</w:t>
            </w:r>
          </w:p>
        </w:tc>
      </w:tr>
    </w:tbl>
    <w:p/>
    <w:p>
      <w:pPr>
        <w:pStyle w:val="Heading2"/>
      </w:pPr>
      <w:bookmarkStart w:id="11" w:name="_Toc11"/>
      <w:r>
        <w:t>11. Lote bancario y envío al banco</w:t>
      </w:r>
      <w:bookmarkEnd w:id="11"/>
    </w:p>
    <w:p>
      <w:pPr>
        <w:jc w:val="both"/>
        <w:spacing w:after="120"/>
      </w:pPr>
      <w:r>
        <w:rPr>
          <w:sz w:val="22"/>
          <w:szCs w:val="22"/>
        </w:rPr>
        <w:t xml:space="preserve">Generar lote bancario arma el snapshot de transferencias (CUIT, CBU, alias, neto, referencia OP). Exportar descarga el archivo (CSV genérico por defecto).</w:t>
      </w:r>
    </w:p>
    <w:p>
      <w:pPr>
        <w:jc w:val="both"/>
        <w:spacing w:after="120"/>
      </w:pPr>
      <w:r>
        <w:rPr>
          <w:sz w:val="22"/>
          <w:szCs w:val="22"/>
        </w:rPr>
        <w:t xml:space="preserve">Valida CBU (22 dígitos BCRA). Líneas sin CBU válido no entran al archivo.</w:t>
      </w:r>
    </w:p>
    <w:p>
      <w:pPr>
        <w:jc w:val="both"/>
        <w:spacing w:after="120"/>
      </w:pPr>
      <w:r>
        <w:rPr>
          <w:sz w:val="22"/>
          <w:szCs w:val="22"/>
        </w:rPr>
        <w:t xml:space="preserve">Cuando el archivo ya se subió/envió al home banking, use Marcar enviado banco: el lote pasa a ENVIADO y las OP quedan bloqueadas (no se re-proponen ni se regeneran livianamente).</w:t>
      </w:r>
    </w:p>
    <w:p>
      <w:pPr>
        <w:jc w:val="both"/>
        <w:spacing w:after="120"/>
      </w:pPr>
      <w:r>
        <w:rPr>
          <w:sz w:val="22"/>
          <w:szCs w:val="22"/>
        </w:rPr>
        <w:t xml:space="preserve">Si más adelante hay convenio con un banco, el sistema ya tiene el gancho de driver (`convenio_driver`): el operador seguirá el mismo botón Exportar, pero el archivo saldrá en el layout acordado.</w:t>
      </w:r>
    </w:p>
    <w:p>
      <w:pPr>
        <w:numPr>
          <w:ilvl w:val="0"/>
          <w:numId w:val=""/>
        </w:numPr>
      </w:pPr>
      <w:r>
        <w:rPr/>
        <w:t xml:space="preserve">Exportar ≠ Enviado: exportar es bajar el archivo; marcar enviado es el sello operativo.</w:t>
      </w:r>
    </w:p>
    <w:p>
      <w:pPr>
        <w:numPr>
          <w:ilvl w:val="0"/>
          <w:numId w:val=""/>
        </w:numPr>
      </w:pPr>
      <w:r>
        <w:rPr/>
        <w:t xml:space="preserve">Un lote ENVIADO no se reemplaza: se generan lotes nuevos solo con OP no bloqueadas.</w:t>
      </w:r>
    </w:p>
    <w:p/>
    <w:p>
      <w:pPr>
        <w:pStyle w:val="Heading2"/>
      </w:pPr>
      <w:bookmarkStart w:id="12" w:name="_Toc12"/>
      <w:r>
        <w:t>12. Clearing bancario (OP ↔ Interbanking)</w:t>
      </w:r>
      <w:bookmarkEnd w:id="12"/>
    </w:p>
    <w:p>
      <w:pPr>
        <w:jc w:val="both"/>
        <w:spacing w:after="120"/>
      </w:pPr>
      <w:r>
        <w:rPr>
          <w:sz w:val="22"/>
          <w:szCs w:val="22"/>
        </w:rPr>
        <w:t xml:space="preserve">Pantalla: Clearing bancario. Es el FEBAN “operativo” del módulo: empareja OP confirmadas/pagadas con transferencias Interbanking ya sincronizadas y, si corresponde, con movimientos de extracto.</w:t>
      </w:r>
    </w:p>
    <w:p>
      <w:pPr>
        <w:jc w:val="both"/>
        <w:spacing w:after="120"/>
      </w:pPr>
      <w:r>
        <w:rPr>
          <w:sz w:val="22"/>
          <w:szCs w:val="22"/>
        </w:rPr>
        <w:t xml:space="preserve">El motor puntúa candidatos (neto preferido, bruto, CBU, CUIT, cercanía de fecha). Score alto → auto-concilia. Score medio → sugerencia. Sin candidato o ambiguo → excepción.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workbench verá: sugerencias/excepciones con botones OK/X, OP pendientes, transferencias libres, movimientos débito, y un formulario de match manual (forzar vínculo OP↔T o OP↔M).</w:t>
      </w:r>
    </w:p>
    <w:p>
      <w:pPr>
        <w:jc w:val="both"/>
        <w:spacing w:after="120"/>
      </w:pPr>
      <w:r>
        <w:rPr>
          <w:sz w:val="22"/>
          <w:szCs w:val="22"/>
        </w:rPr>
        <w:t xml:space="preserve">También puede reprocesar una propuesta indicando su ID. El job diario de bridge usa el mismo motor.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de una sugerencia de clearing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SUGERIDO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Hay candidato; confirme o rechace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Conciliado automáticamente por score alto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Match manual o confirmado por usuario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EXCEPCION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match claro o score bajo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Descartado (manual o supersedido)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Una transferencia o movimiento no puede vincularse a dos OP.</w:t>
      </w:r>
    </w:p>
    <w:p>
      <w:pPr>
        <w:numPr>
          <w:ilvl w:val="0"/>
          <w:numId w:val=""/>
        </w:numPr>
      </w:pPr>
      <w:r>
        <w:rPr/>
        <w:t xml:space="preserve">Al conciliar, la OP pasa a PAGADA/CONCILIADA y queda bloqueada como enviada al banco.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Correr 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superior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Reprocesa sugerencias de una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OK / X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sugerencias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o rechaza un match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Forzar match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pantalla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Vincula OP con transferencia o movimiento a mano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</w:tbl>
    <w:p/>
    <w:p>
      <w:pPr>
        <w:pStyle w:val="Heading2"/>
      </w:pPr>
      <w:bookmarkStart w:id="13" w:name="_Toc13"/>
      <w:r>
        <w:t>13. Proyección de pagos (reporte)</w:t>
      </w:r>
      <w:bookmarkEnd w:id="13"/>
    </w:p>
    <w:p>
      <w:pPr>
        <w:jc w:val="both"/>
        <w:spacing w:after="120"/>
      </w:pPr>
      <w:r>
        <w:rPr>
          <w:sz w:val="22"/>
          <w:szCs w:val="22"/>
        </w:rPr>
        <w:t xml:space="preserve">Menú: Compras → Cuentas a pagar → Reportes → Proyección de pagos (`compras/proyeccion-pagos`). Permiso: `listar-reporte-proyeccion-pagos` (roles Enc-pagos / Op-Pagos / administrador).</w:t>
      </w:r>
    </w:p>
    <w:p>
      <w:pPr>
        <w:jc w:val="both"/>
        <w:spacing w:after="120"/>
      </w:pPr>
      <w:r>
        <w:rPr>
          <w:sz w:val="22"/>
          <w:szCs w:val="22"/>
        </w:rPr>
        <w:t xml:space="preserve">Es el equivalente ERP del informe Anita l-proy: muestra la deuda abierta de proveedores leída solo desde anitaERP (cuenta corriente + aplicaciones hasta la fecha base). No usa el bridge Informix.</w:t>
      </w:r>
    </w:p>
    <w:p>
      <w:pPr>
        <w:jc w:val="both"/>
        <w:spacing w:after="120"/>
      </w:pPr>
      <w:r>
        <w:rPr>
          <w:sz w:val="22"/>
          <w:szCs w:val="22"/>
        </w:rPr>
        <w:t xml:space="preserve">Sirve para decidir qué pagar la próxima semana o mes, cuánto está vencido, qué falta aprobar y cómo se reparte la deuda por concepto de cash flow. Con esa lectura arma después la Propuesta de pagos.</w:t>
      </w:r>
    </w:p>
    <w:p>
      <w:pPr>
        <w:jc w:val="both"/>
        <w:spacing w:after="120"/>
      </w:pPr>
      <w:r>
        <w:rPr>
          <w:sz w:val="22"/>
          <w:szCs w:val="22"/>
        </w:rPr>
        <w:t xml:space="preserve">Elija empresas, fecha base y tipo de informe: A vencer (proyección hacia adelante) o Vencidos (antigüedad hacia atrás). Defina tramos por días (ej. 7,15,30,60,90,120) o por mes. Opcional: abre saldo anterior, moneda de expresión, proveedores (F1 / lupa), tipos de comprobante, condiciones a compensar, incluir adelantos, estado de aprobación y fecha de carga.</w:t>
      </w:r>
    </w:p>
    <w:p>
      <w:pPr>
        <w:jc w:val="both"/>
        <w:spacing w:after="120"/>
      </w:pPr>
      <w:r>
        <w:rPr>
          <w:sz w:val="22"/>
          <w:szCs w:val="22"/>
        </w:rPr>
        <w:t xml:space="preserve">La grilla se agrupa (proveedor, empresa, moneda, medio de pago, condición, tramo o concepto de cash flow) y se ordena (código, nombre, mayor/menor deuda, vencimiento, días). Puede ver detalle por comprobante o solo totales por grupo.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y conceptos clave del informe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 / idea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significa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Tramos / Posterior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Importes según días (o meses) al vencimiento respecto de la fecha base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 compensar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Deuda con condición de pago marcada como compensación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Adelantos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Pagos a cuenta sin aplicar (restan del adeudado)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Pend.aprob. / Total aprob.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estado del comprobante (aprobado/contabilizado vs pendiente)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adeudado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Deuda neta a pagar en la moneda del informe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N.Con. / Detalle del concepto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de cash flow (conceptogasto = Anita concoper), no el concepto IVA compra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cash flow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contable que aporta el concepto (link al plan de cuentas)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Links azules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Proveedor, comprobante, OC, requisición, concepto y cuenta (según permiso)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De dónde sale el concepto de cash flow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Prioridad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Origen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del movimiento de caja del 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imputada en la línea del comprobante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de mayor peso del asiento (prioriza resultados sobre pasivo)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por defecto del proveedor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No confunda concepto IVA compra (tablas de compras) con concepto cash flow (Caja → Conceptos de gasto).</w:t>
      </w:r>
    </w:p>
    <w:p>
      <w:pPr>
        <w:numPr>
          <w:ilvl w:val="0"/>
          <w:numId w:val=""/>
        </w:numPr>
      </w:pPr>
      <w:r>
        <w:rPr/>
        <w:t xml:space="preserve">Si un total en moneda extranjera “no cierra”, revise el modo de cotización (fecha base vs histórica) y las advertencias de cotización vigente.</w:t>
      </w:r>
    </w:p>
    <w:p>
      <w:pPr>
        <w:numPr>
          <w:ilvl w:val="0"/>
          <w:numId w:val=""/>
        </w:numPr>
      </w:pPr>
      <w:r>
        <w:rPr/>
        <w:t xml:space="preserve">Después de proyectar: arme la propuesta con el mismo rango de vencimientos que acaba de mirar.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Use el botón Columnas para armar vistas (Ejecutiva, Tesorería, Análisis de origen, Cash flow o Todo): elige y ordena columnas; la preferencia se guarda por usuario. Exporta PDF, Excel o CSV con los mismos filtros y columnas (no solo la página visible).</w:t>
      </w:r>
    </w:p>
    <w:p>
      <w:pPr>
        <w:jc w:val="both"/>
        <w:spacing w:after="120"/>
      </w:pPr>
      <w:r>
        <w:rPr>
          <w:sz w:val="22"/>
          <w:szCs w:val="22"/>
        </w:rPr>
        <w:t xml:space="preserve">En PDF multiempresa sin consolidar, el sistema genera un PDF por empresa y los une. En pantalla, haga clic en la cabecera del grupo para colapsar el detalle.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la proyección con los criterios indicados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Elige, ordena y guarda columnas (presets Ejecutiva / Tesorería / Análisis / Cash flow)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F1 / lupa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códigos de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y elige proveedores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Agrupación / Orden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Agrupa por proveedor, tramo, concepto cash flow, etc. y ordena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Colapsar grupo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 grupo en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Oculta o muestra el detalle del grupo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 exportación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el informe completo con los mismos filtros y columnas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Links azules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Celdas de proveedor, comprobante, OC, requisición, concepto, 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ABM en solapa (vista consulta) según permiso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documento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la pantalla sin filtros aplicados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</w:tbl>
    <w:p/>
    <w:p>
      <w:pPr>
        <w:pStyle w:val="Heading2"/>
      </w:pPr>
      <w:bookmarkStart w:id="14" w:name="_Toc14"/>
      <w:r>
        <w:t>14. Cockpit, cash position y forecast</w:t>
      </w:r>
      <w:bookmarkEnd w:id="14"/>
    </w:p>
    <w:p>
      <w:pPr>
        <w:jc w:val="both"/>
        <w:spacing w:after="120"/>
      </w:pPr>
      <w:r>
        <w:rPr>
          <w:sz w:val="22"/>
          <w:szCs w:val="22"/>
        </w:rPr>
        <w:t xml:space="preserve">Cockpit de tesorería (`compras/tesoreria`): no es solo un menú de accesos. Incluye KPIs (saldos IB, deuda vencida, propuestas, disponible), forecast 7/15/30 y una grilla operativa única con Propuestas (PP), Solicitudes de pago (SP) e Ingresos/Egresos (IE).</w:t>
      </w:r>
    </w:p>
    <w:p>
      <w:pPr>
        <w:jc w:val="both"/>
        <w:spacing w:after="120"/>
      </w:pPr>
      <w:r>
        <w:rPr>
          <w:sz w:val="22"/>
          <w:szCs w:val="22"/>
        </w:rPr>
        <w:t xml:space="preserve">Filtre por empresa, tipo (PP/SP/IE) y ventana de días. Cada fila tiene link al documento (abre en solapa).</w:t>
      </w:r>
    </w:p>
    <w:p>
      <w:pPr>
        <w:jc w:val="both"/>
        <w:spacing w:after="120"/>
      </w:pPr>
      <w:r>
        <w:rPr>
          <w:sz w:val="22"/>
          <w:szCs w:val="22"/>
        </w:rPr>
        <w:t xml:space="preserve">Cash position profundiza saldos Interbanking, deuda vencida y propuestas abiertas. El forecast muestra cuánto vence en cada ventana y el saldo proyectado si se pagara. Complementa —no reemplaza— el informe de Proyección de pagos (más analítico y configurable).</w:t>
      </w:r>
    </w:p>
    <w:p>
      <w:pPr>
        <w:numPr>
          <w:ilvl w:val="0"/>
          <w:numId w:val=""/>
        </w:numPr>
      </w:pPr>
      <w:r>
        <w:rPr/>
        <w:t xml:space="preserve">Use el cockpit a la mañana para priorizar: qué firmar, qué ejecutar, qué SP/IE hay abiertos.</w:t>
      </w:r>
    </w:p>
    <w:p>
      <w:pPr>
        <w:numPr>
          <w:ilvl w:val="0"/>
          <w:numId w:val=""/>
        </w:numPr>
      </w:pPr>
      <w:r>
        <w:rPr/>
        <w:t xml:space="preserve">Los accesos inferiores llevan a OP, Interbanking, Clearing, etc.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 tipo PP/SP/IE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Reduce la grilla operativa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tipo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documento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 propuesta, SP o 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documento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 / accesos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 al workbench de conciliación bancaria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listar/ejecutar-propuesta-pago</w:t>
            </w:r>
          </w:p>
        </w:tc>
      </w:tr>
    </w:tbl>
    <w:p/>
    <w:p>
      <w:pPr>
        <w:pStyle w:val="Heading2"/>
      </w:pPr>
      <w:bookmarkStart w:id="15" w:name="_Toc15"/>
      <w:r>
        <w:t>15. Excepciones: reabrir, parcial y delta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La vida real no es lineal. El módulo contempla excepciones de gobierno sin romper el rastro.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Herramientas de excepción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 sin OP aún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BORRADOR; limpia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 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EJECUTADA_PARCIAL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Pendientes vuelven a AUTORIZADA; OP enviadas siguen bloqueadas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Propuesta delta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Autorizada/ejecutada con pendientes o excluidas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BORRADOR con esas líneas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Excluir línea (soft)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se ejecuta; no baja monto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Marcar enviado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Hay lote exportado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Bloquea OP del archivo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Regla de oro: lo ya enviado al banco no se “deshace” con un reopen. Si hay que corregir, trabaje con delta o anulación formal de OP según política de la empresa.</w:t>
      </w:r>
    </w:p>
    <w:p>
      <w:pPr>
        <w:pStyle w:val="Heading2"/>
      </w:pPr>
      <w:bookmarkStart w:id="16" w:name="_Toc16"/>
      <w:r>
        <w:t>16. Auditoría y compliance</w:t>
      </w:r>
      <w:bookmarkEnd w:id="16"/>
    </w:p>
    <w:p>
      <w:pPr>
        <w:jc w:val="both"/>
        <w:spacing w:after="120"/>
      </w:pPr>
      <w:r>
        <w:rPr>
          <w:sz w:val="22"/>
          <w:szCs w:val="22"/>
        </w:rPr>
        <w:t xml:space="preserve">Desde la propuesta: Auditoría (pantalla y PDF). Resume montos, líneas incluidas/ejecutadas/pendientes/excluidas, historia de estados con usuario, firmas del árbol PP (nivel, destinatario, fechas), OP con marca de bloqueo banco, y lotes bancarios (estado, archivo, driver, enviado).</w:t>
      </w:r>
    </w:p>
    <w:p>
      <w:pPr>
        <w:jc w:val="both"/>
        <w:spacing w:after="120"/>
      </w:pPr>
      <w:r>
        <w:rPr>
          <w:sz w:val="22"/>
          <w:szCs w:val="22"/>
        </w:rPr>
        <w:t xml:space="preserve">Use este pack para auditorías internas, compliance y para responder “quién autorizó este desembolso”.</w:t>
      </w:r>
    </w:p>
    <w:p>
      <w:pPr>
        <w:numPr>
          <w:ilvl w:val="0"/>
          <w:numId w:val=""/>
        </w:numPr>
      </w:pPr>
      <w:r>
        <w:rPr/>
        <w:t xml:space="preserve">La historia de estados también se ve al pie de la edición de la propuesta.</w:t>
      </w:r>
    </w:p>
    <w:p>
      <w:pPr>
        <w:numPr>
          <w:ilvl w:val="0"/>
          <w:numId w:val=""/>
        </w:numPr>
      </w:pPr>
      <w:r>
        <w:rPr/>
        <w:t xml:space="preserve">Conserve el PDF de auditoría junto al archivo bancario del lote cuando el banco lo requiera.</w:t>
      </w:r>
    </w:p>
    <w:p/>
    <w:p>
      <w:pPr>
        <w:pStyle w:val="Heading2"/>
      </w:pPr>
      <w:bookmarkStart w:id="17" w:name="_Toc17"/>
      <w:r>
        <w:t>17. Relación con OP, SP e IE</w:t>
      </w:r>
      <w:bookmarkEnd w:id="17"/>
    </w:p>
    <w:p>
      <w:pPr>
        <w:jc w:val="both"/>
        <w:spacing w:after="120"/>
      </w:pPr>
      <w:r>
        <w:rPr>
          <w:sz w:val="22"/>
          <w:szCs w:val="22"/>
        </w:rPr>
        <w:t xml:space="preserve">Órdenes de pago (`compras/pagoproveedor`): documento de ejecución del lote (retenciones, aplicación a CC, asiento). Pueden existir OP sin propuesta si la configuración lo permite.</w:t>
      </w:r>
    </w:p>
    <w:p>
      <w:pPr>
        <w:jc w:val="both"/>
        <w:spacing w:after="120"/>
      </w:pPr>
      <w:r>
        <w:rPr>
          <w:sz w:val="22"/>
          <w:szCs w:val="22"/>
        </w:rPr>
        <w:t xml:space="preserve">Solicitud de pago: canal de gastos/conceptos con su propio árbol. En el cockpit aparecen junto a las propuestas para ver la cola completa de tesorería.</w:t>
      </w:r>
    </w:p>
    <w:p>
      <w:pPr>
        <w:jc w:val="both"/>
        <w:spacing w:after="120"/>
      </w:pPr>
      <w:r>
        <w:rPr>
          <w:sz w:val="22"/>
          <w:szCs w:val="22"/>
        </w:rPr>
        <w:t xml:space="preserve">Ingreso/Egreso: omnibus de caja (transferencias entre cuentas, canje de cheques, etc.). No lleva el árbol de retenciones AP; el selector de modo de uso ayuda a elegir el circuito correcto al crear.</w:t>
      </w:r>
    </w:p>
    <w:p>
      <w:pPr>
        <w:jc w:val="both"/>
        <w:spacing w:after="120"/>
      </w:pPr>
      <w:r>
        <w:rPr>
          <w:sz w:val="22"/>
          <w:szCs w:val="22"/>
        </w:rPr>
        <w:t xml:space="preserve">No mezcle conceptos: la autorización premium de pagos a proveedores vive en la Propuesta; la SP autoriza otro tipo de desembolso; el IE mueve caja. La proyección solo informa; no genera OP.</w:t>
      </w:r>
    </w:p>
    <w:p>
      <w:pPr>
        <w:pStyle w:val="Heading2"/>
      </w:pPr>
      <w:bookmarkStart w:id="18" w:name="_Toc18"/>
      <w:r>
        <w:t>18. Buenas prácticas y preguntas frecuentes</w:t>
      </w:r>
      <w:bookmarkEnd w:id="18"/>
    </w:p>
    <w:p>
      <w:pPr>
        <w:jc w:val="both"/>
        <w:spacing w:after="120"/>
      </w:pPr>
      <w:r>
        <w:rPr>
          <w:sz w:val="22"/>
          <w:szCs w:val="22"/>
        </w:rPr>
        <w:t xml:space="preserve">Antes de armar el lote: corra la proyección con los mismos tramos que va a usar en la propuesta.</w:t>
      </w:r>
    </w:p>
    <w:p>
      <w:pPr>
        <w:jc w:val="both"/>
        <w:spacing w:after="120"/>
      </w:pPr>
      <w:r>
        <w:rPr>
          <w:sz w:val="22"/>
          <w:szCs w:val="22"/>
        </w:rPr>
        <w:t xml:space="preserve">Antes de enviar a aprobación: revise vencidos vs a vencer, medios de pago y que los CBU estén cargados en el proveedor.</w:t>
      </w:r>
    </w:p>
    <w:p>
      <w:pPr>
        <w:jc w:val="both"/>
        <w:spacing w:after="120"/>
      </w:pPr>
      <w:r>
        <w:rPr>
          <w:sz w:val="22"/>
          <w:szCs w:val="22"/>
        </w:rPr>
        <w:t xml:space="preserve">Antes de ejecutar: confirme caja/cuenta/chequera y exclusiones finales.</w:t>
      </w:r>
    </w:p>
    <w:p>
      <w:pPr>
        <w:jc w:val="both"/>
        <w:spacing w:after="120"/>
      </w:pPr>
      <w:r>
        <w:rPr>
          <w:sz w:val="22"/>
          <w:szCs w:val="22"/>
        </w:rPr>
        <w:t xml:space="preserve">Antes de marcar enviado: verifique el archivo exportado y que el home banking aceptó el lote.</w:t>
      </w:r>
    </w:p>
    <w:p>
      <w:pPr>
        <w:jc w:val="both"/>
        <w:spacing w:after="120"/>
      </w:pPr>
      <w:r>
        <w:rPr>
          <w:sz w:val="22"/>
          <w:szCs w:val="22"/>
        </w:rPr>
        <w:t xml:space="preserve">Diario: corra Clearing o deje el job automático; revise excepciones del workbench.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FAQ rápida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Pregunta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Respuesta corta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¿Dónde está la proyección?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 → Cuentas a pagar → Reportes → Proyección de pagos.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no veo el concepto?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Active las columnas Cash flow o use la vista predefinida Cash flow.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¿Concepto IVA o cash flow?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Cash flow = conceptogasto; IVA compra es otra tabla (impuestos).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no puedo ejecutar?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Debe estar AUTORIZADA y con líneas incluidas pendientes.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no hay árbol?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Light, o falta ABM árbol tipo PP para la empresa/monto.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el CSV no incluye una OP?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CBU inválido/ausente, o es cheque sin CBU, o OP bloqueada.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¿Puedo bajar el autorizado excluyendo líneas?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automáticamente: el autorizado es snapshot de firma.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¿Qué es el delta?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 con lo que no se pagó / se excluyó.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¿Clearing borra datos del banco?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No: solo vincula registros ya sincronizados de Interbanking.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¿Dónde veo todo junto?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 de tesorería.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Si el período contable está cerrado, la ejecución de OP fallará: coordine con Contabilidad.</w:t>
      </w:r>
    </w:p>
    <w:p>
      <w:pPr>
        <w:numPr>
          <w:ilvl w:val="0"/>
          <w:numId w:val=""/>
        </w:numPr>
      </w:pPr>
      <w:r>
        <w:rPr/>
        <w:t xml:space="preserve">Para soporte técnico, indique ID de propuesta, estado, y si el lote está ENVIADO; o filtros de la proyección si el problema es el informe.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2026-08-12T01:23:04-03:00</dcterms:created>
  <dcterms:modified xsi:type="dcterms:W3CDTF">2026-08-12T01:23:04-03:00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