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after="200"/>
      </w:pPr>
      <w:r>
        <w:rPr>
          <w:color w:val="1B4F72"/>
          <w:sz w:val="28"/>
          <w:szCs w:val="28"/>
          <w:b w:val="1"/>
          <w:bCs w:val="1"/>
        </w:rPr>
        <w:t xml:space="preserve">anitaERP — Controles en carga de facturas de proveedor (legajo, Cuentas a pagar e Ingresos/Egresos de caja)</w:t>
      </w:r>
    </w:p>
    <w:p>
      <w:pPr>
        <w:spacing w:after="300"/>
      </w:pPr>
      <w:r>
        <w:rPr>
          <w:color w:val="555555"/>
          <w:sz w:val="20"/>
          <w:szCs w:val="20"/>
          <w:i w:val="1"/>
          <w:iCs w:val="1"/>
        </w:rPr>
        <w:t xml:space="preserve">Fecha: 05/08/2026</w:t>
      </w:r>
    </w:p>
    <w:p>
      <w:pPr>
        <w:spacing w:after="240"/>
      </w:pPr>
      <w:r>
        <w:rPr>
          <w:sz w:val="22"/>
          <w:szCs w:val="22"/>
        </w:rPr>
        <w:t xml:space="preserve">Se implementaron controles en el circuito legajo de compras (OC) → Cuentas a pagar → factura de proveedor, y se extendió el control de unicidad de comprobantes a la carga de facturas IVA en Ingresos y Egresos de caja. El objetivo es no enviar ni cargar facturas sin recepción vinculada cuando corresponde, validar cotización e importes frente a las COM, y evitar cargar dos veces la misma factura desde orígenes distintos.</w:t>
      </w:r>
    </w:p>
    <w:p>
      <w:pPr>
        <w:spacing w:after="240"/>
      </w:pPr>
      <w:r>
        <w:rPr>
          <w:color w:val="1B4F72"/>
          <w:sz w:val="24"/>
          <w:szCs w:val="24"/>
          <w:b w:val="1"/>
          <w:bCs w:val="1"/>
        </w:rPr>
        <w:t xml:space="preserve">1. Antes de enviar el legajo a Cuentas a pagar</w:t>
      </w:r>
    </w:p>
    <w:p>
      <w:pPr>
        <w:spacing w:after="160"/>
      </w:pPr>
      <w:r>
        <w:rPr>
          <w:sz w:val="22"/>
          <w:szCs w:val="22"/>
        </w:rPr>
        <w:t xml:space="preserve">Al cambiar el sector de la OC a CUENTAS A PAGAR (manual o por trigger del árbol de aprobación) el sistema exige:</w:t>
      </w:r>
    </w:p>
    <w:p>
      <w:pPr>
        <w:spacing w:after="160"/>
      </w:pPr>
      <w:r>
        <w:rPr>
          <w:color w:val="2874A6"/>
          <w:sz w:val="22"/>
          <w:szCs w:val="22"/>
          <w:b w:val="1"/>
          <w:bCs w:val="1"/>
        </w:rPr>
        <w:t xml:space="preserve">1.1 Factura del legajo</w:t>
      </w:r>
    </w:p>
    <w:p>
      <w:pPr>
        <w:spacing w:after="160"/>
      </w:pPr>
      <w:r>
        <w:rPr>
          <w:sz w:val="22"/>
          <w:szCs w:val="22"/>
        </w:rPr>
        <w:t xml:space="preserve">Debe existir una precarga vinculada a la OC (mismo número y empresa) con PDF. Si no hay, el modal de cambio de sector pide adjuntar el PDF en el mismo paso; se crea/actualiza la precarga y recién ahí permite el envío.</w:t>
      </w:r>
    </w:p>
    <w:p>
      <w:pPr>
        <w:spacing w:after="160"/>
      </w:pPr>
      <w:r>
        <w:rPr>
          <w:color w:val="2874A6"/>
          <w:sz w:val="22"/>
          <w:szCs w:val="22"/>
          <w:b w:val="1"/>
          <w:bCs w:val="1"/>
        </w:rPr>
        <w:t xml:space="preserve">1.2 Recepción COM disponible</w:t>
      </w:r>
    </w:p>
    <w:p>
      <w:pPr>
        <w:spacing w:after="160"/>
      </w:pPr>
      <w:r>
        <w:rPr>
          <w:sz w:val="22"/>
          <w:szCs w:val="22"/>
        </w:rPr>
        <w:t xml:space="preserve">Al menos una recepción CONFIRMADA con asiento de provisión y sin factura contabilizada previa.</w:t>
      </w:r>
    </w:p>
    <w:p>
      <w:pPr>
        <w:spacing w:after="160"/>
      </w:pPr>
      <w:r>
        <w:rPr>
          <w:sz w:val="22"/>
          <w:szCs w:val="22"/>
        </w:rPr>
        <w:t xml:space="preserve">Excepción: OC de gasto/servicio (sin artículos de stock) no exige COM, pero sí exige la factura/PDF.</w:t>
      </w:r>
    </w:p>
    <w:p>
      <w:pPr>
        <w:spacing w:after="240"/>
      </w:pPr>
      <w:r>
        <w:rPr>
          <w:sz w:val="22"/>
          <w:szCs w:val="22"/>
        </w:rPr>
        <w:t xml:space="preserve">Si falta alguno de estos requisitos, el envío se bloquea con mensaje claro.</w:t>
      </w:r>
    </w:p>
    <w:p>
      <w:pPr>
        <w:spacing w:after="240"/>
      </w:pPr>
      <w:r>
        <w:rPr>
          <w:color w:val="1B4F72"/>
          <w:sz w:val="24"/>
          <w:szCs w:val="24"/>
          <w:b w:val="1"/>
          <w:bCs w:val="1"/>
        </w:rPr>
        <w:t xml:space="preserve">2. Al cargar la factura en Cuentas a pagar</w:t>
      </w:r>
    </w:p>
    <w:p>
      <w:pPr>
        <w:spacing w:after="160"/>
      </w:pPr>
      <w:r>
        <w:rPr>
          <w:sz w:val="22"/>
          <w:szCs w:val="22"/>
        </w:rPr>
        <w:t xml:space="preserve">Cuando la factura se asocia a un legajo con recepciones: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El modo debe ser «Factura contra recepción (COM)» y hay que seleccionar al menos una recepción.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Cotización (moneda extranjera / dólares): si la cotización de la factura difiere de la/s COM y están en el mismo mes → se avisa y se actualiza automáticamente la cotización de las recepciones (mismo proceso ya existente de cambio de cotización en recepción).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Si alguna COM está en otro mes → no se puede cargar la factura; el legajo vuelve a COMPRAS y se envía correo a los usuarios del sector COMPRAS.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Diferencia de importe factura vs provisión COM: se compara el importe de referencia de la factura (neto gravado / total según letra y condición IVA) contra la suma de las COM elegidas. Si supera la tolerancia configurada → no se carga; el legajo vuelve a COMPRAS con aviso por mail.</w:t>
      </w:r>
    </w:p>
    <w:p/>
    <w:p>
      <w:pPr>
        <w:spacing w:after="240"/>
      </w:pPr>
      <w:r>
        <w:rPr>
          <w:color w:val="1B4F72"/>
          <w:sz w:val="24"/>
          <w:szCs w:val="24"/>
          <w:b w:val="1"/>
          <w:bCs w:val="1"/>
        </w:rPr>
        <w:t xml:space="preserve">3. Tolerancias configurables</w:t>
      </w:r>
    </w:p>
    <w:p>
      <w:pPr>
        <w:spacing w:after="160"/>
      </w:pPr>
      <w:r>
        <w:rPr>
          <w:sz w:val="22"/>
          <w:szCs w:val="22"/>
        </w:rPr>
        <w:t xml:space="preserve">Nueva pantalla: Compras → Config. comprobante proveedor (también accesible desde el botón Configuración en el listado de comprobantes de proveedor).</w:t>
      </w:r>
    </w:p>
    <w:tbl>
      <w:tblGrid>
        <w:gridCol w:w="4500" w:type="dxa"/>
        <w:gridCol w:w="35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4500" w:type="dxa"/>
            <w:shd w:val="clear" w:fill="85C1E9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Criterio</w:t>
            </w:r>
          </w:p>
        </w:tc>
        <w:tc>
          <w:tcPr>
            <w:tcW w:w="3500" w:type="dxa"/>
            <w:shd w:val="clear" w:fill="85C1E9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Valor inicial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>
                <w:sz w:val="20"/>
                <w:szCs w:val="20"/>
              </w:rPr>
              <w:t xml:space="preserve">Centro de costo 85 (Gastronomía)</w:t>
            </w:r>
          </w:p>
        </w:tc>
        <w:tc>
          <w:tcPr>
            <w:tcW w:w="3500" w:type="dxa"/>
            <w:noWrap/>
          </w:tcPr>
          <w:p>
            <w:pPr/>
            <w:r>
              <w:rPr>
                <w:sz w:val="20"/>
                <w:szCs w:val="20"/>
              </w:rPr>
              <w:t xml:space="preserve">5%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>
                <w:sz w:val="20"/>
                <w:szCs w:val="20"/>
              </w:rPr>
              <w:t xml:space="preserve">Resto de centros / default</w:t>
            </w:r>
          </w:p>
        </w:tc>
        <w:tc>
          <w:tcPr>
            <w:tcW w:w="3500" w:type="dxa"/>
            <w:noWrap/>
          </w:tcPr>
          <w:p>
            <w:pPr/>
            <w:r>
              <w:rPr>
                <w:sz w:val="20"/>
                <w:szCs w:val="20"/>
              </w:rPr>
              <w:t xml:space="preserve">0%</w:t>
            </w:r>
          </w:p>
        </w:tc>
      </w:tr>
    </w:tbl>
    <w:p/>
    <w:p>
      <w:pPr>
        <w:spacing w:after="240"/>
      </w:pPr>
      <w:r>
        <w:rPr>
          <w:sz w:val="22"/>
          <w:szCs w:val="22"/>
        </w:rPr>
        <w:t xml:space="preserve">Se puede ajustar por empresa y centro de costo.</w:t>
      </w:r>
    </w:p>
    <w:p>
      <w:pPr>
        <w:spacing w:after="240"/>
      </w:pPr>
      <w:r>
        <w:rPr>
          <w:color w:val="1B4F72"/>
          <w:sz w:val="24"/>
          <w:szCs w:val="24"/>
          <w:b w:val="1"/>
          <w:bCs w:val="1"/>
        </w:rPr>
        <w:t xml:space="preserve">4. Notificación a Compras</w:t>
      </w:r>
    </w:p>
    <w:p>
      <w:pPr>
        <w:spacing w:after="160"/>
      </w:pPr>
      <w:r>
        <w:rPr>
          <w:sz w:val="22"/>
          <w:szCs w:val="22"/>
        </w:rPr>
        <w:t xml:space="preserve">Cuando el sistema rechaza la carga por cotización (otro mes) o por diferencia de importe, automáticamente: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Mueve la OC al sector COMPRAS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Registra el motivo en la historia del legajo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Envía mail a usuarios activos del sector COMPRAS con email cargado</w:t>
      </w:r>
    </w:p>
    <w:p/>
    <w:p>
      <w:pPr>
        <w:spacing w:after="240"/>
      </w:pPr>
      <w:r>
        <w:rPr>
          <w:color w:val="1B4F72"/>
          <w:sz w:val="24"/>
          <w:szCs w:val="24"/>
          <w:b w:val="1"/>
          <w:bCs w:val="1"/>
        </w:rPr>
        <w:t xml:space="preserve">5. Asiento contable cuando la factura difiere de la recepción</w:t>
      </w:r>
    </w:p>
    <w:p>
      <w:pPr>
        <w:spacing w:after="160"/>
      </w:pPr>
      <w:r>
        <w:rPr>
          <w:sz w:val="22"/>
          <w:szCs w:val="22"/>
        </w:rPr>
        <w:t xml:space="preserve">No existe una cuenta de diferencia o desvío. En modo «Factura contra recepción (COM)» el asiento se arma así: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Debe — impuestos y percepciones a las cuentas de cada concepto IVA.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Debe — reversión de la provisión COM (cuenta automática de «provisión facturas a recibir» de la empresa) por el total de la provisión de las recepciones vinculadas.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Si el neto de la factura es mayor que la provisión COM (más de $0,05) — el exceso se imputa a las mismas cuentas de compra de los artículos de la recepción, prorrateado según el peso de cada línea (observación: «Diferencia factura vs COM — prorrateo artículos»).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Haber — total de la factura a la cuenta del proveedor (según moneda).</w:t>
      </w:r>
    </w:p>
    <w:p/>
    <w:p>
      <w:pPr>
        <w:spacing w:after="160"/>
      </w:pPr>
      <w:r>
        <w:rPr>
          <w:sz w:val="22"/>
          <w:szCs w:val="22"/>
        </w:rPr>
        <w:t xml:space="preserve">Resumen de casos:</w:t>
      </w:r>
    </w:p>
    <w:tbl>
      <w:tblGrid>
        <w:gridCol w:w="3500" w:type="dxa"/>
        <w:gridCol w:w="55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3500" w:type="dxa"/>
            <w:shd w:val="clear" w:fill="85C1E9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Caso</w:t>
            </w:r>
          </w:p>
        </w:tc>
        <w:tc>
          <w:tcPr>
            <w:tcW w:w="5500" w:type="dxa"/>
            <w:shd w:val="clear" w:fill="85C1E9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Qué ocurre</w:t>
            </w:r>
          </w:p>
        </w:tc>
      </w:tr>
      <w:tr>
        <w:trPr/>
        <w:tc>
          <w:tcPr>
            <w:tcW w:w="3500" w:type="dxa"/>
            <w:noWrap/>
          </w:tcPr>
          <w:p>
            <w:pPr/>
            <w:r>
              <w:rPr>
                <w:sz w:val="20"/>
                <w:szCs w:val="20"/>
              </w:rPr>
              <w:t xml:space="preserve">Factura similar a COM (dif. hasta $0,05)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20"/>
                <w:szCs w:val="20"/>
              </w:rPr>
              <w:t xml:space="preserve">Solo revierte la provisión + impuestos; no hay línea de diferencia.</w:t>
            </w:r>
          </w:p>
        </w:tc>
      </w:tr>
      <w:tr>
        <w:trPr/>
        <w:tc>
          <w:tcPr>
            <w:tcW w:w="3500" w:type="dxa"/>
            <w:noWrap/>
          </w:tcPr>
          <w:p>
            <w:pPr/>
            <w:r>
              <w:rPr>
                <w:sz w:val="20"/>
                <w:szCs w:val="20"/>
              </w:rPr>
              <w:t xml:space="preserve">Factura mayor a COM, dentro de tolerancia %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20"/>
                <w:szCs w:val="20"/>
              </w:rPr>
              <w:t xml:space="preserve">Se permite la carga; el exceso va a las cuentas de artículos de la COM (prorrateo).</w:t>
            </w:r>
          </w:p>
        </w:tc>
      </w:tr>
      <w:tr>
        <w:trPr/>
        <w:tc>
          <w:tcPr>
            <w:tcW w:w="3500" w:type="dxa"/>
            <w:noWrap/>
          </w:tcPr>
          <w:p>
            <w:pPr/>
            <w:r>
              <w:rPr>
                <w:sz w:val="20"/>
                <w:szCs w:val="20"/>
              </w:rPr>
              <w:t xml:space="preserve">Factura mayor a COM, fuera de tolerancia %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20"/>
                <w:szCs w:val="20"/>
              </w:rPr>
              <w:t xml:space="preserve">No se carga la factura; el legajo vuelve a COMPRAS con mail.</w:t>
            </w:r>
          </w:p>
        </w:tc>
      </w:tr>
      <w:tr>
        <w:trPr/>
        <w:tc>
          <w:tcPr>
            <w:tcW w:w="3500" w:type="dxa"/>
            <w:noWrap/>
          </w:tcPr>
          <w:p>
            <w:pPr/>
            <w:r>
              <w:rPr>
                <w:sz w:val="20"/>
                <w:szCs w:val="20"/>
              </w:rPr>
              <w:t xml:space="preserve">Factura menor a COM (más de $0,05)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20"/>
                <w:szCs w:val="20"/>
              </w:rPr>
              <w:t xml:space="preserve">El asiento no se arma: el sistema bloquea la contabilización (el neto de la factura no puede ser menor que la provisión).</w:t>
            </w:r>
          </w:p>
        </w:tc>
      </w:tr>
    </w:tbl>
    <w:p/>
    <w:p>
      <w:pPr>
        <w:spacing w:after="240"/>
      </w:pPr>
      <w:r>
        <w:rPr>
          <w:sz w:val="22"/>
          <w:szCs w:val="22"/>
        </w:rPr>
        <w:t xml:space="preserve">En resumen: la diferencia «hacia arriba» (dentro de tolerancia) refuerza el gasto/activo de compra en las cuentas de los artículos; no se usa una cuenta de desvío. La diferencia «hacia abajo» no se contabiliza de esa forma: se bloquea.</w:t>
      </w:r>
    </w:p>
    <w:p>
      <w:pPr>
        <w:spacing w:after="240"/>
      </w:pPr>
      <w:r>
        <w:rPr>
          <w:color w:val="1B4F72"/>
          <w:sz w:val="24"/>
          <w:szCs w:val="24"/>
          <w:b w:val="1"/>
          <w:bCs w:val="1"/>
        </w:rPr>
        <w:t xml:space="preserve">6. Unicidad de factura (no cargar dos veces la misma)</w:t>
      </w:r>
    </w:p>
    <w:p>
      <w:pPr>
        <w:spacing w:after="160"/>
      </w:pPr>
      <w:r>
        <w:rPr>
          <w:sz w:val="22"/>
          <w:szCs w:val="22"/>
        </w:rPr>
        <w:t xml:space="preserve">No se permite cargar el mismo comprobante más de una vez, aunque venga de orígenes distintos (precarga, Cuentas a pagar / legajo, o Ingresos-Egresos de caja).</w:t>
      </w:r>
    </w:p>
    <w:p>
      <w:pPr>
        <w:spacing w:after="160"/>
      </w:pPr>
      <w:r>
        <w:rPr>
          <w:color w:val="2874A6"/>
          <w:sz w:val="22"/>
          <w:szCs w:val="22"/>
          <w:b w:val="1"/>
          <w:bCs w:val="1"/>
        </w:rPr>
        <w:t xml:space="preserve">6.1 Clave de identidad AFIP</w:t>
      </w:r>
    </w:p>
    <w:p>
      <w:pPr>
        <w:spacing w:after="160"/>
      </w:pPr>
      <w:r>
        <w:rPr>
          <w:sz w:val="22"/>
          <w:szCs w:val="22"/>
        </w:rPr>
        <w:t xml:space="preserve">Se considera el mismo comprobante cuando coinciden, para la misma empresa y el mismo proveedor (CUIT):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Código AFIP del tipo (01, 02, 03, etc., normalizado desde el tipo de transacción de compra)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Letra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Sucursal (punto de venta)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Número de comprobante</w:t>
      </w:r>
    </w:p>
    <w:p>
      <w:pPr>
        <w:spacing w:after="160"/>
      </w:pPr>
      <w:r>
        <w:rPr>
          <w:sz w:val="22"/>
          <w:szCs w:val="22"/>
        </w:rPr>
        <w:t xml:space="preserve">El control mira tanto comprobantes ya grabados como precargas vigentes (estados anulados no bloquean).</w:t>
      </w:r>
    </w:p>
    <w:p>
      <w:pPr>
        <w:spacing w:after="160"/>
      </w:pPr>
      <w:r>
        <w:rPr>
          <w:color w:val="2874A6"/>
          <w:sz w:val="22"/>
          <w:szCs w:val="22"/>
          <w:b w:val="1"/>
          <w:bCs w:val="1"/>
        </w:rPr>
        <w:t xml:space="preserve">6.2 Código de autorización (CAE / CAI / CAEA)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CAE y CAI: el número de autorización no puede repetirse para el mismo CUIT (salvo el propio registro en edición).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CAEA: sí puede repetirse (varios comprobantes del mismo lote). En pantalla hay que indicar tipo de autorización = CAEA.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Si hay número de autorización y no se indica tipo, se asume CAE a efectos del control.</w:t>
      </w:r>
    </w:p>
    <w:p/>
    <w:p>
      <w:pPr>
        <w:spacing w:after="160"/>
      </w:pPr>
      <w:r>
        <w:rPr>
          <w:color w:val="2874A6"/>
          <w:sz w:val="22"/>
          <w:szCs w:val="22"/>
          <w:b w:val="1"/>
          <w:bCs w:val="1"/>
        </w:rPr>
        <w:t xml:space="preserve">6.3 Dónde aplica</w:t>
      </w:r>
    </w:p>
    <w:tbl>
      <w:tblGrid>
        <w:gridCol w:w="3500" w:type="dxa"/>
        <w:gridCol w:w="55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3500" w:type="dxa"/>
            <w:shd w:val="clear" w:fill="85C1E9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Origen de carga</w:t>
            </w:r>
          </w:p>
        </w:tc>
        <w:tc>
          <w:tcPr>
            <w:tcW w:w="5500" w:type="dxa"/>
            <w:shd w:val="clear" w:fill="85C1E9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Comportamiento</w:t>
            </w:r>
          </w:p>
        </w:tc>
      </w:tr>
      <w:tr>
        <w:trPr/>
        <w:tc>
          <w:tcPr>
            <w:tcW w:w="3500" w:type="dxa"/>
            <w:noWrap/>
          </w:tcPr>
          <w:p>
            <w:pPr/>
            <w:r>
              <w:rPr>
                <w:sz w:val="20"/>
                <w:szCs w:val="20"/>
              </w:rPr>
              <w:t xml:space="preserve">Comprobante proveedor / precarga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20"/>
                <w:szCs w:val="20"/>
              </w:rPr>
              <w:t xml:space="preserve">Al guardar: bloquea si ya existe el mismo AFIP o el mismo CAE/CAI. Campo «Tipo autorización» en el formulario.</w:t>
            </w:r>
          </w:p>
        </w:tc>
      </w:tr>
      <w:tr>
        <w:trPr/>
        <w:tc>
          <w:tcPr>
            <w:tcW w:w="3500" w:type="dxa"/>
            <w:noWrap/>
          </w:tcPr>
          <w:p>
            <w:pPr/>
            <w:r>
              <w:rPr>
                <w:sz w:val="20"/>
                <w:szCs w:val="20"/>
              </w:rPr>
              <w:t xml:space="preserve">Ingresos / Egresos de caja (IVA compras)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20"/>
                <w:szCs w:val="20"/>
              </w:rPr>
              <w:t xml:space="preserve">Misma regla al aceptar el modal (validación AJAX) y al grabar el movimiento. Select CAE/CAEA/CAI en el modal; la lectura PDF+IA precarga el tipo cuando lo detecta.</w:t>
            </w:r>
          </w:p>
        </w:tc>
      </w:tr>
    </w:tbl>
    <w:p/>
    <w:p>
      <w:pPr>
        <w:spacing w:after="240"/>
      </w:pPr>
      <w:r>
        <w:rPr>
          <w:sz w:val="22"/>
          <w:szCs w:val="22"/>
        </w:rPr>
        <w:t xml:space="preserve">Ejemplo: una factura cargada desde el legajo en Cuentas a pagar no puede volver a cargarse como comprobante IVA en un ingreso/egreso de caja (y viceversa).</w:t>
      </w:r>
    </w:p>
    <w:p>
      <w:pPr>
        <w:spacing w:after="240"/>
      </w:pPr>
      <w:r>
        <w:rPr>
          <w:color w:val="1B4F72"/>
          <w:sz w:val="24"/>
          <w:szCs w:val="24"/>
          <w:b w:val="1"/>
          <w:bCs w:val="1"/>
        </w:rPr>
        <w:t xml:space="preserve">7. Impacto operativo</w:t>
      </w:r>
    </w:p>
    <w:tbl>
      <w:tblGrid>
        <w:gridCol w:w="3500" w:type="dxa"/>
        <w:gridCol w:w="55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3500" w:type="dxa"/>
            <w:shd w:val="clear" w:fill="85C1E9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Momento</w:t>
            </w:r>
          </w:p>
        </w:tc>
        <w:tc>
          <w:tcPr>
            <w:tcW w:w="5500" w:type="dxa"/>
            <w:shd w:val="clear" w:fill="85C1E9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Qué debe hacer</w:t>
            </w:r>
          </w:p>
        </w:tc>
      </w:tr>
      <w:tr>
        <w:trPr/>
        <w:tc>
          <w:tcPr>
            <w:tcW w:w="3500" w:type="dxa"/>
            <w:noWrap/>
          </w:tcPr>
          <w:p>
            <w:pPr/>
            <w:r>
              <w:rPr>
                <w:sz w:val="20"/>
                <w:szCs w:val="20"/>
              </w:rPr>
              <w:t xml:space="preserve">Enviar legajo a CXP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20"/>
                <w:szCs w:val="20"/>
              </w:rPr>
              <w:t xml:space="preserve">Tener PDF de factura (o adjuntarlo en el modal) y COM confirmada (si hay mercadería)</w:t>
            </w:r>
          </w:p>
        </w:tc>
      </w:tr>
      <w:tr>
        <w:trPr/>
        <w:tc>
          <w:tcPr>
            <w:tcW w:w="3500" w:type="dxa"/>
            <w:noWrap/>
          </w:tcPr>
          <w:p>
            <w:pPr/>
            <w:r>
              <w:rPr>
                <w:sz w:val="20"/>
                <w:szCs w:val="20"/>
              </w:rPr>
              <w:t xml:space="preserve">Cargar factura (CXP)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20"/>
                <w:szCs w:val="20"/>
              </w:rPr>
              <w:t xml:space="preserve">Seleccionar la/s recepción/es; revisar cotización e importe</w:t>
            </w:r>
          </w:p>
        </w:tc>
      </w:tr>
      <w:tr>
        <w:trPr/>
        <w:tc>
          <w:tcPr>
            <w:tcW w:w="3500" w:type="dxa"/>
            <w:noWrap/>
          </w:tcPr>
          <w:p>
            <w:pPr/>
            <w:r>
              <w:rPr>
                <w:sz w:val="20"/>
                <w:szCs w:val="20"/>
              </w:rPr>
              <w:t xml:space="preserve">Diferencia de cotización mismo mes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20"/>
                <w:szCs w:val="20"/>
              </w:rPr>
              <w:t xml:space="preserve">El sistema actualiza las COM; aparece aviso al guardar</w:t>
            </w:r>
          </w:p>
        </w:tc>
      </w:tr>
      <w:tr>
        <w:trPr/>
        <w:tc>
          <w:tcPr>
            <w:tcW w:w="3500" w:type="dxa"/>
            <w:noWrap/>
          </w:tcPr>
          <w:p>
            <w:pPr/>
            <w:r>
              <w:rPr>
                <w:sz w:val="20"/>
                <w:szCs w:val="20"/>
              </w:rPr>
              <w:t xml:space="preserve">Cotización otro mes / importe fuera de tolerancia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20"/>
                <w:szCs w:val="20"/>
              </w:rPr>
              <w:t xml:space="preserve">No se guarda; el legajo vuelve a Compras con mail</w:t>
            </w:r>
          </w:p>
        </w:tc>
      </w:tr>
      <w:tr>
        <w:trPr/>
        <w:tc>
          <w:tcPr>
            <w:tcW w:w="3500" w:type="dxa"/>
            <w:noWrap/>
          </w:tcPr>
          <w:p>
            <w:pPr/>
            <w:r>
              <w:rPr>
                <w:sz w:val="20"/>
                <w:szCs w:val="20"/>
              </w:rPr>
              <w:t xml:space="preserve">Factura mayor a COM dentro de tolerancia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20"/>
                <w:szCs w:val="20"/>
              </w:rPr>
              <w:t xml:space="preserve">Al contabilizar: exceso a cuentas de artículos de la COM (sin cuenta de desvío)</w:t>
            </w:r>
          </w:p>
        </w:tc>
      </w:tr>
      <w:tr>
        <w:trPr/>
        <w:tc>
          <w:tcPr>
            <w:tcW w:w="3500" w:type="dxa"/>
            <w:noWrap/>
          </w:tcPr>
          <w:p>
            <w:pPr/>
            <w:r>
              <w:rPr>
                <w:sz w:val="20"/>
                <w:szCs w:val="20"/>
              </w:rPr>
              <w:t xml:space="preserve">Factura menor a COM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20"/>
                <w:szCs w:val="20"/>
              </w:rPr>
              <w:t xml:space="preserve">No se puede contabilizar el asiento</w:t>
            </w:r>
          </w:p>
        </w:tc>
      </w:tr>
      <w:tr>
        <w:trPr/>
        <w:tc>
          <w:tcPr>
            <w:tcW w:w="3500" w:type="dxa"/>
            <w:noWrap/>
          </w:tcPr>
          <w:p>
            <w:pPr/>
            <w:r>
              <w:rPr>
                <w:sz w:val="20"/>
                <w:szCs w:val="20"/>
              </w:rPr>
              <w:t xml:space="preserve">Cargar factura (cualquier origen)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20"/>
                <w:szCs w:val="20"/>
              </w:rPr>
              <w:t xml:space="preserve">Verificar que no exista ya el mismo tipo AFIP + letra + sucursal + número + CUIT</w:t>
            </w:r>
          </w:p>
        </w:tc>
      </w:tr>
      <w:tr>
        <w:trPr/>
        <w:tc>
          <w:tcPr>
            <w:tcW w:w="3500" w:type="dxa"/>
            <w:noWrap/>
          </w:tcPr>
          <w:p>
            <w:pPr/>
            <w:r>
              <w:rPr>
                <w:sz w:val="20"/>
                <w:szCs w:val="20"/>
              </w:rPr>
              <w:t xml:space="preserve">Factura con CAEA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20"/>
                <w:szCs w:val="20"/>
              </w:rPr>
              <w:t xml:space="preserve">Indicar tipo autorización CAEA para que el código pueda repetirse en el lote</w:t>
            </w:r>
          </w:p>
        </w:tc>
      </w:tr>
      <w:tr>
        <w:trPr/>
        <w:tc>
          <w:tcPr>
            <w:tcW w:w="3500" w:type="dxa"/>
            <w:noWrap/>
          </w:tcPr>
          <w:p>
            <w:pPr/>
            <w:r>
              <w:rPr>
                <w:sz w:val="20"/>
                <w:szCs w:val="20"/>
              </w:rPr>
              <w:t xml:space="preserve">IVA en Ingreso/Egreso de caja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20"/>
                <w:szCs w:val="20"/>
              </w:rPr>
              <w:t xml:space="preserve">Completar tipo autorización; el sistema rechaza duplicados contra compras/precarga</w:t>
            </w:r>
          </w:p>
        </w:tc>
      </w:tr>
    </w:tbl>
    <w:p/>
    <w:p>
      <w:pPr>
        <w:spacing w:after="240"/>
      </w:pPr>
      <w:r>
        <w:rPr>
          <w:color w:val="1B4F72"/>
          <w:sz w:val="24"/>
          <w:szCs w:val="24"/>
          <w:b w:val="1"/>
          <w:bCs w:val="1"/>
        </w:rPr>
        <w:t xml:space="preserve">8. Pruebas sugeridas</w:t>
      </w:r>
    </w:p>
    <w:p>
      <w:pPr>
        <w:spacing w:after="80"/>
      </w:pPr>
      <w:r>
        <w:rPr>
          <w:sz w:val="22"/>
          <w:szCs w:val="22"/>
        </w:rPr>
        <w:t xml:space="preserve">1. OC sin PDF → al elegir Cuentas a pagar pide PDF y no deja pasar sin adjuntarlo.</w:t>
      </w:r>
    </w:p>
    <w:p>
      <w:pPr>
        <w:spacing w:after="80"/>
      </w:pPr>
      <w:r>
        <w:rPr>
          <w:sz w:val="22"/>
          <w:szCs w:val="22"/>
        </w:rPr>
        <w:t xml:space="preserve">2. OC con PDF pero sin COM (con artículos) → bloquea envío a CXP.</w:t>
      </w:r>
    </w:p>
    <w:p>
      <w:pPr>
        <w:spacing w:after="80"/>
      </w:pPr>
      <w:r>
        <w:rPr>
          <w:sz w:val="22"/>
          <w:szCs w:val="22"/>
        </w:rPr>
        <w:t xml:space="preserve">3. OC gasto/servicio sin artículos → exige PDF, no exige COM.</w:t>
      </w:r>
    </w:p>
    <w:p>
      <w:pPr>
        <w:spacing w:after="80"/>
      </w:pPr>
      <w:r>
        <w:rPr>
          <w:sz w:val="22"/>
          <w:szCs w:val="22"/>
        </w:rPr>
        <w:t xml:space="preserve">4. Factura USD, COM mismo mes, cotización distinta → guarda y actualiza cotización de la COM.</w:t>
      </w:r>
    </w:p>
    <w:p>
      <w:pPr>
        <w:spacing w:after="80"/>
      </w:pPr>
      <w:r>
        <w:rPr>
          <w:sz w:val="22"/>
          <w:szCs w:val="22"/>
        </w:rPr>
        <w:t xml:space="preserve">5. Factura USD, COM otro mes, cotización distinta → rechaza y devuelve a COMPRAS + mail.</w:t>
      </w:r>
    </w:p>
    <w:p>
      <w:pPr>
        <w:spacing w:after="80"/>
      </w:pPr>
      <w:r>
        <w:rPr>
          <w:sz w:val="22"/>
          <w:szCs w:val="22"/>
        </w:rPr>
        <w:t xml:space="preserve">6. Importe fuera de tolerancia (0% / 5% CC 85) → rechaza y devuelve a COMPRAS + mail.</w:t>
      </w:r>
    </w:p>
    <w:p>
      <w:pPr>
        <w:spacing w:after="80"/>
      </w:pPr>
      <w:r>
        <w:rPr>
          <w:sz w:val="22"/>
          <w:szCs w:val="22"/>
        </w:rPr>
        <w:t xml:space="preserve">7. Factura levemente mayor a COM (dentro de tolerancia) → contabiliza: provisión + prorrateo del exceso en cuentas de artículos.</w:t>
      </w:r>
    </w:p>
    <w:p>
      <w:pPr>
        <w:spacing w:after="80"/>
      </w:pPr>
      <w:r>
        <w:rPr>
          <w:sz w:val="22"/>
          <w:szCs w:val="22"/>
        </w:rPr>
        <w:t xml:space="preserve">8. Factura menor a COM → no permite armar/contabilizar el asiento.</w:t>
      </w:r>
    </w:p>
    <w:p>
      <w:pPr>
        <w:spacing w:after="80"/>
      </w:pPr>
      <w:r>
        <w:rPr>
          <w:sz w:val="22"/>
          <w:szCs w:val="22"/>
        </w:rPr>
        <w:t xml:space="preserve">9. Revisar configuración de tolerancias por empresa.</w:t>
      </w:r>
    </w:p>
    <w:p>
      <w:pPr>
        <w:spacing w:after="80"/>
      </w:pPr>
      <w:r>
        <w:rPr>
          <w:sz w:val="22"/>
          <w:szCs w:val="22"/>
        </w:rPr>
        <w:t xml:space="preserve">10. Misma factura AFIP ya cargada en CXP → al intentarla en Ingreso/Egreso de caja, el modal avisa duplicado y no la agrega.</w:t>
      </w:r>
    </w:p>
    <w:p>
      <w:pPr>
        <w:spacing w:after="80"/>
      </w:pPr>
      <w:r>
        <w:rPr>
          <w:sz w:val="22"/>
          <w:szCs w:val="22"/>
        </w:rPr>
        <w:t xml:space="preserve">11. Mismo CAE/CAI + CUIT en precarga o comprobante → bloquea (salvo que el tipo sea CAEA).</w:t>
      </w:r>
    </w:p>
    <w:p>
      <w:pPr>
        <w:spacing w:after="80"/>
      </w:pPr>
      <w:r>
        <w:rPr>
          <w:sz w:val="22"/>
          <w:szCs w:val="22"/>
        </w:rPr>
        <w:t xml:space="preserve">12. Dos facturas del mismo lote CAEA → permite repetir el código si el tipo es CAEA.</w:t>
      </w:r>
    </w:p>
    <w:p/>
    <w:p>
      <w:pPr>
        <w:spacing w:after="160"/>
      </w:pPr>
      <w:r>
        <w:rPr>
          <w:sz w:val="22"/>
          <w:szCs w:val="22"/>
        </w:rPr>
        <w:t xml:space="preserve">Quedamos a disposición ante cualquier consulta o ajuste de umbrales.</w:t>
      </w:r>
    </w:p>
    <w:sectPr>
      <w:pgSz w:orient="portrait" w:w="11905.511811023622" w:h="16837.79527559055"/>
      <w:pgMar w:top="1134" w:right="1134" w:bottom="1134" w:left="113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0415A224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2026-08-05T00:43:24+00:00</dcterms:created>
  <dcterms:modified xsi:type="dcterms:W3CDTF">2026-08-05T00:43:24+00:00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