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4204B" w14:textId="77777777" w:rsidR="00A77FC9" w:rsidRPr="00780007" w:rsidRDefault="00A77FC9" w:rsidP="00780007">
      <w:pPr>
        <w:spacing w:after="300" w:line="240" w:lineRule="auto"/>
        <w:jc w:val="both"/>
        <w:textAlignment w:val="baseline"/>
        <w:outlineLvl w:val="3"/>
        <w:rPr>
          <w:rFonts w:ascii="Times New Roman" w:eastAsia="Times New Roman" w:hAnsi="Times New Roman" w:cs="Times New Roman"/>
          <w:b/>
          <w:bCs/>
          <w:color w:val="000000"/>
          <w:sz w:val="20"/>
          <w:szCs w:val="20"/>
          <w:lang w:val="es-ES"/>
        </w:rPr>
      </w:pPr>
      <w:r w:rsidRPr="00780007">
        <w:rPr>
          <w:rFonts w:ascii="Times New Roman" w:eastAsia="Times New Roman" w:hAnsi="Times New Roman" w:cs="Times New Roman"/>
          <w:b/>
          <w:bCs/>
          <w:color w:val="000000"/>
          <w:sz w:val="20"/>
          <w:szCs w:val="20"/>
          <w:lang w:val="es-ES"/>
        </w:rPr>
        <w:t>FATCA: Ley de Cumplimiento Fiscal de Cuentas Extranjeras</w:t>
      </w:r>
    </w:p>
    <w:p w14:paraId="18F7A6E7" w14:textId="58620E56" w:rsidR="00A77FC9" w:rsidRPr="00780007" w:rsidRDefault="00A77FC9" w:rsidP="00780007">
      <w:p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b/>
          <w:bCs/>
          <w:color w:val="000000"/>
          <w:sz w:val="20"/>
          <w:szCs w:val="20"/>
          <w:bdr w:val="none" w:sz="0" w:space="0" w:color="auto" w:frame="1"/>
          <w:lang w:val="es-ES"/>
        </w:rPr>
        <w:t>Foreign Account Tax Compliance</w:t>
      </w:r>
      <w:r w:rsidR="002F7A7B" w:rsidRPr="00780007">
        <w:rPr>
          <w:rFonts w:ascii="Times New Roman" w:eastAsia="Times New Roman" w:hAnsi="Times New Roman" w:cs="Times New Roman"/>
          <w:b/>
          <w:bCs/>
          <w:color w:val="000000"/>
          <w:sz w:val="20"/>
          <w:szCs w:val="20"/>
          <w:bdr w:val="none" w:sz="0" w:space="0" w:color="auto" w:frame="1"/>
          <w:lang w:val="es-ES"/>
        </w:rPr>
        <w:t xml:space="preserve"> Act</w:t>
      </w:r>
      <w:r w:rsidRPr="00780007">
        <w:rPr>
          <w:rFonts w:ascii="Times New Roman" w:eastAsia="Times New Roman" w:hAnsi="Times New Roman" w:cs="Times New Roman"/>
          <w:b/>
          <w:bCs/>
          <w:color w:val="000000"/>
          <w:sz w:val="20"/>
          <w:szCs w:val="20"/>
          <w:bdr w:val="none" w:sz="0" w:space="0" w:color="auto" w:frame="1"/>
          <w:lang w:val="es-ES"/>
        </w:rPr>
        <w:t xml:space="preserve"> </w:t>
      </w:r>
      <w:r w:rsidRPr="00FD05AD">
        <w:rPr>
          <w:rFonts w:ascii="Times New Roman" w:eastAsia="Times New Roman" w:hAnsi="Times New Roman" w:cs="Times New Roman"/>
          <w:color w:val="000000"/>
          <w:sz w:val="20"/>
          <w:szCs w:val="20"/>
          <w:bdr w:val="none" w:sz="0" w:space="0" w:color="auto" w:frame="1"/>
          <w:lang w:val="es-ES"/>
        </w:rPr>
        <w:t>("FATCA</w:t>
      </w:r>
      <w:r w:rsidR="002F7A7B" w:rsidRPr="00FD05AD">
        <w:rPr>
          <w:rFonts w:ascii="Times New Roman" w:eastAsia="Times New Roman" w:hAnsi="Times New Roman" w:cs="Times New Roman"/>
          <w:color w:val="000000"/>
          <w:sz w:val="20"/>
          <w:szCs w:val="20"/>
          <w:bdr w:val="none" w:sz="0" w:space="0" w:color="auto" w:frame="1"/>
          <w:lang w:val="es-ES"/>
        </w:rPr>
        <w:t>”</w:t>
      </w:r>
      <w:r w:rsidR="00125B5C" w:rsidRPr="00FD05AD">
        <w:rPr>
          <w:rFonts w:ascii="Times New Roman" w:eastAsia="Times New Roman" w:hAnsi="Times New Roman" w:cs="Times New Roman"/>
          <w:color w:val="000000"/>
          <w:sz w:val="20"/>
          <w:szCs w:val="20"/>
          <w:bdr w:val="none" w:sz="0" w:space="0" w:color="auto" w:frame="1"/>
          <w:lang w:val="es-ES"/>
        </w:rPr>
        <w:t>,</w:t>
      </w:r>
      <w:r w:rsidR="002F7A7B" w:rsidRPr="00780007">
        <w:rPr>
          <w:rFonts w:ascii="Times New Roman" w:eastAsia="Times New Roman" w:hAnsi="Times New Roman" w:cs="Times New Roman"/>
          <w:b/>
          <w:bCs/>
          <w:color w:val="000000"/>
          <w:sz w:val="20"/>
          <w:szCs w:val="20"/>
          <w:bdr w:val="none" w:sz="0" w:space="0" w:color="auto" w:frame="1"/>
          <w:lang w:val="es-ES"/>
        </w:rPr>
        <w:t xml:space="preserve"> </w:t>
      </w:r>
      <w:r w:rsidR="002F7A7B" w:rsidRPr="00780007">
        <w:rPr>
          <w:rFonts w:ascii="Times New Roman" w:eastAsia="Times New Roman" w:hAnsi="Times New Roman" w:cs="Times New Roman"/>
          <w:color w:val="000000"/>
          <w:sz w:val="20"/>
          <w:szCs w:val="20"/>
          <w:bdr w:val="none" w:sz="0" w:space="0" w:color="auto" w:frame="1"/>
          <w:lang w:val="es-ES"/>
        </w:rPr>
        <w:t>por sus siglas en inglés</w:t>
      </w:r>
      <w:r w:rsidRPr="005F4D84">
        <w:rPr>
          <w:rFonts w:ascii="Times New Roman" w:eastAsia="Times New Roman" w:hAnsi="Times New Roman" w:cs="Times New Roman"/>
          <w:color w:val="000000"/>
          <w:sz w:val="20"/>
          <w:szCs w:val="20"/>
          <w:bdr w:val="none" w:sz="0" w:space="0" w:color="auto" w:frame="1"/>
          <w:lang w:val="es-ES"/>
        </w:rPr>
        <w:t>)</w:t>
      </w:r>
      <w:r w:rsidRPr="00780007">
        <w:rPr>
          <w:rFonts w:ascii="Times New Roman" w:eastAsia="Times New Roman" w:hAnsi="Times New Roman" w:cs="Times New Roman"/>
          <w:color w:val="000000"/>
          <w:sz w:val="20"/>
          <w:szCs w:val="20"/>
          <w:lang w:val="es-ES"/>
        </w:rPr>
        <w:t xml:space="preserve"> es una </w:t>
      </w:r>
      <w:r w:rsidRPr="00780007">
        <w:rPr>
          <w:rFonts w:ascii="Times New Roman" w:eastAsia="Times New Roman" w:hAnsi="Times New Roman" w:cs="Times New Roman"/>
          <w:b/>
          <w:bCs/>
          <w:color w:val="000000"/>
          <w:sz w:val="20"/>
          <w:szCs w:val="20"/>
          <w:lang w:val="es-ES"/>
        </w:rPr>
        <w:t>ley</w:t>
      </w:r>
      <w:r w:rsidRPr="00780007">
        <w:rPr>
          <w:rFonts w:ascii="Times New Roman" w:eastAsia="Times New Roman" w:hAnsi="Times New Roman" w:cs="Times New Roman"/>
          <w:color w:val="000000"/>
          <w:sz w:val="20"/>
          <w:szCs w:val="20"/>
          <w:lang w:val="es-ES"/>
        </w:rPr>
        <w:t xml:space="preserve"> </w:t>
      </w:r>
      <w:r w:rsidR="002F7A7B" w:rsidRPr="00780007">
        <w:rPr>
          <w:rFonts w:ascii="Times New Roman" w:eastAsia="Times New Roman" w:hAnsi="Times New Roman" w:cs="Times New Roman"/>
          <w:color w:val="000000"/>
          <w:sz w:val="20"/>
          <w:szCs w:val="20"/>
          <w:lang w:val="es-ES"/>
        </w:rPr>
        <w:t>promulgada</w:t>
      </w:r>
      <w:r w:rsidRPr="00780007">
        <w:rPr>
          <w:rFonts w:ascii="Times New Roman" w:eastAsia="Times New Roman" w:hAnsi="Times New Roman" w:cs="Times New Roman"/>
          <w:color w:val="000000"/>
          <w:sz w:val="20"/>
          <w:szCs w:val="20"/>
          <w:lang w:val="es-ES"/>
        </w:rPr>
        <w:t xml:space="preserve"> por el Congreso de los Estados Unidos</w:t>
      </w:r>
      <w:r w:rsidR="00FD05AD">
        <w:rPr>
          <w:rFonts w:ascii="Times New Roman" w:eastAsia="Times New Roman" w:hAnsi="Times New Roman" w:cs="Times New Roman"/>
          <w:color w:val="000000"/>
          <w:sz w:val="20"/>
          <w:szCs w:val="20"/>
          <w:lang w:val="es-ES"/>
        </w:rPr>
        <w:t xml:space="preserve"> (E.E.U.U)</w:t>
      </w:r>
      <w:r w:rsidRPr="00780007">
        <w:rPr>
          <w:rFonts w:ascii="Times New Roman" w:eastAsia="Times New Roman" w:hAnsi="Times New Roman" w:cs="Times New Roman"/>
          <w:color w:val="000000"/>
          <w:sz w:val="20"/>
          <w:szCs w:val="20"/>
          <w:lang w:val="es-ES"/>
        </w:rPr>
        <w:t xml:space="preserve"> e</w:t>
      </w:r>
      <w:r w:rsidR="002F7A7B" w:rsidRPr="00780007">
        <w:rPr>
          <w:rFonts w:ascii="Times New Roman" w:eastAsia="Times New Roman" w:hAnsi="Times New Roman" w:cs="Times New Roman"/>
          <w:color w:val="000000"/>
          <w:sz w:val="20"/>
          <w:szCs w:val="20"/>
          <w:lang w:val="es-ES"/>
        </w:rPr>
        <w:t>l 18 de</w:t>
      </w:r>
      <w:r w:rsidRPr="00780007">
        <w:rPr>
          <w:rFonts w:ascii="Times New Roman" w:eastAsia="Times New Roman" w:hAnsi="Times New Roman" w:cs="Times New Roman"/>
          <w:color w:val="000000"/>
          <w:sz w:val="20"/>
          <w:szCs w:val="20"/>
          <w:lang w:val="es-ES"/>
        </w:rPr>
        <w:t xml:space="preserve"> marzo de 2010</w:t>
      </w:r>
      <w:r w:rsidR="00125B5C" w:rsidRPr="00780007">
        <w:rPr>
          <w:rFonts w:ascii="Times New Roman" w:eastAsia="Times New Roman" w:hAnsi="Times New Roman" w:cs="Times New Roman"/>
          <w:color w:val="000000"/>
          <w:sz w:val="20"/>
          <w:szCs w:val="20"/>
          <w:lang w:val="es-ES"/>
        </w:rPr>
        <w:t>, con aplicación</w:t>
      </w:r>
      <w:r w:rsidRPr="00780007">
        <w:rPr>
          <w:rFonts w:ascii="Times New Roman" w:eastAsia="Times New Roman" w:hAnsi="Times New Roman" w:cs="Times New Roman"/>
          <w:color w:val="000000"/>
          <w:sz w:val="20"/>
          <w:szCs w:val="20"/>
          <w:lang w:val="es-ES"/>
        </w:rPr>
        <w:t xml:space="preserve"> efectiva desde el 1 de julio de 2014</w:t>
      </w:r>
      <w:r w:rsidR="00125B5C" w:rsidRPr="00780007">
        <w:rPr>
          <w:rFonts w:ascii="Times New Roman" w:eastAsia="Times New Roman" w:hAnsi="Times New Roman" w:cs="Times New Roman"/>
          <w:color w:val="000000"/>
          <w:sz w:val="20"/>
          <w:szCs w:val="20"/>
          <w:lang w:val="es-ES"/>
        </w:rPr>
        <w:t xml:space="preserve">. Introducida por el Departamento de Tesorería de los </w:t>
      </w:r>
      <w:r w:rsidR="00FD05AD">
        <w:rPr>
          <w:rFonts w:ascii="Times New Roman" w:eastAsia="Times New Roman" w:hAnsi="Times New Roman" w:cs="Times New Roman"/>
          <w:color w:val="000000"/>
          <w:sz w:val="20"/>
          <w:szCs w:val="20"/>
          <w:lang w:val="es-ES"/>
        </w:rPr>
        <w:t xml:space="preserve">E.E.U.U. </w:t>
      </w:r>
      <w:r w:rsidR="00125B5C" w:rsidRPr="00780007">
        <w:rPr>
          <w:rFonts w:ascii="Times New Roman" w:eastAsia="Times New Roman" w:hAnsi="Times New Roman" w:cs="Times New Roman"/>
          <w:color w:val="000000"/>
          <w:sz w:val="20"/>
          <w:szCs w:val="20"/>
          <w:lang w:val="es-ES"/>
        </w:rPr>
        <w:t>(</w:t>
      </w:r>
      <w:r w:rsidR="00DC419A" w:rsidRPr="00780007">
        <w:rPr>
          <w:rFonts w:ascii="Times New Roman" w:eastAsia="Times New Roman" w:hAnsi="Times New Roman" w:cs="Times New Roman"/>
          <w:color w:val="000000"/>
          <w:sz w:val="20"/>
          <w:szCs w:val="20"/>
          <w:lang w:val="es-ES"/>
        </w:rPr>
        <w:t>United States Department of Treasury</w:t>
      </w:r>
      <w:r w:rsidR="00125B5C" w:rsidRPr="00780007">
        <w:rPr>
          <w:rFonts w:ascii="Times New Roman" w:eastAsia="Times New Roman" w:hAnsi="Times New Roman" w:cs="Times New Roman"/>
          <w:color w:val="000000"/>
          <w:sz w:val="20"/>
          <w:szCs w:val="20"/>
          <w:lang w:val="es-ES"/>
        </w:rPr>
        <w:t>) y la</w:t>
      </w:r>
      <w:r w:rsidR="00125B5C" w:rsidRPr="00780007">
        <w:rPr>
          <w:rFonts w:ascii="Times New Roman" w:eastAsia="Times New Roman" w:hAnsi="Times New Roman" w:cs="Times New Roman"/>
          <w:color w:val="000000"/>
          <w:sz w:val="20"/>
          <w:szCs w:val="20"/>
          <w:bdr w:val="none" w:sz="0" w:space="0" w:color="auto" w:frame="1"/>
          <w:lang w:val="es-ES"/>
        </w:rPr>
        <w:t xml:space="preserve"> entidad tributaria estadounidense (</w:t>
      </w:r>
      <w:r w:rsidR="00125B5C" w:rsidRPr="00780007">
        <w:rPr>
          <w:rFonts w:ascii="Times New Roman" w:eastAsia="Times New Roman" w:hAnsi="Times New Roman" w:cs="Times New Roman"/>
          <w:b/>
          <w:bCs/>
          <w:color w:val="000000"/>
          <w:sz w:val="20"/>
          <w:szCs w:val="20"/>
          <w:bdr w:val="none" w:sz="0" w:space="0" w:color="auto" w:frame="1"/>
          <w:lang w:val="es-ES"/>
        </w:rPr>
        <w:t>Internal Revenue Service</w:t>
      </w:r>
      <w:r w:rsidR="00780007" w:rsidRPr="00780007">
        <w:rPr>
          <w:rFonts w:ascii="Times New Roman" w:eastAsia="Times New Roman" w:hAnsi="Times New Roman" w:cs="Times New Roman"/>
          <w:b/>
          <w:bCs/>
          <w:color w:val="000000"/>
          <w:sz w:val="20"/>
          <w:szCs w:val="20"/>
          <w:bdr w:val="none" w:sz="0" w:space="0" w:color="auto" w:frame="1"/>
          <w:lang w:val="es-ES"/>
        </w:rPr>
        <w:t xml:space="preserve"> -</w:t>
      </w:r>
      <w:r w:rsidR="00125B5C" w:rsidRPr="00780007">
        <w:rPr>
          <w:rFonts w:ascii="Times New Roman" w:eastAsia="Times New Roman" w:hAnsi="Times New Roman" w:cs="Times New Roman"/>
          <w:b/>
          <w:bCs/>
          <w:color w:val="000000"/>
          <w:sz w:val="20"/>
          <w:szCs w:val="20"/>
          <w:bdr w:val="none" w:sz="0" w:space="0" w:color="auto" w:frame="1"/>
          <w:lang w:val="es-ES"/>
        </w:rPr>
        <w:t>IRS</w:t>
      </w:r>
      <w:r w:rsidR="00780007" w:rsidRPr="00780007">
        <w:rPr>
          <w:rFonts w:ascii="Times New Roman" w:eastAsia="Times New Roman" w:hAnsi="Times New Roman" w:cs="Times New Roman"/>
          <w:b/>
          <w:bCs/>
          <w:color w:val="000000"/>
          <w:sz w:val="20"/>
          <w:szCs w:val="20"/>
          <w:bdr w:val="none" w:sz="0" w:space="0" w:color="auto" w:frame="1"/>
          <w:lang w:val="es-ES"/>
        </w:rPr>
        <w:t>-</w:t>
      </w:r>
      <w:r w:rsidR="00125B5C" w:rsidRPr="00780007">
        <w:rPr>
          <w:rFonts w:ascii="Times New Roman" w:eastAsia="Times New Roman" w:hAnsi="Times New Roman" w:cs="Times New Roman"/>
          <w:color w:val="000000"/>
          <w:sz w:val="20"/>
          <w:szCs w:val="20"/>
          <w:bdr w:val="none" w:sz="0" w:space="0" w:color="auto" w:frame="1"/>
          <w:lang w:val="es-ES"/>
        </w:rPr>
        <w:t xml:space="preserve">), su </w:t>
      </w:r>
      <w:r w:rsidR="00125B5C" w:rsidRPr="00780007">
        <w:rPr>
          <w:rFonts w:ascii="Times New Roman" w:eastAsia="Times New Roman" w:hAnsi="Times New Roman" w:cs="Times New Roman"/>
          <w:b/>
          <w:bCs/>
          <w:color w:val="000000"/>
          <w:sz w:val="20"/>
          <w:szCs w:val="20"/>
          <w:bdr w:val="none" w:sz="0" w:space="0" w:color="auto" w:frame="1"/>
          <w:lang w:val="es-ES"/>
        </w:rPr>
        <w:t>objetivo</w:t>
      </w:r>
      <w:r w:rsidR="00125B5C" w:rsidRPr="00780007">
        <w:rPr>
          <w:rFonts w:ascii="Times New Roman" w:eastAsia="Times New Roman" w:hAnsi="Times New Roman" w:cs="Times New Roman"/>
          <w:color w:val="000000"/>
          <w:sz w:val="20"/>
          <w:szCs w:val="20"/>
          <w:bdr w:val="none" w:sz="0" w:space="0" w:color="auto" w:frame="1"/>
          <w:lang w:val="es-ES"/>
        </w:rPr>
        <w:t xml:space="preserve"> es fomentar el cumplimiento tributario evitando que las personas estadounidenses utilicen bancos u otras instituciones financieras para evadir impuestos estadounidenses que se apliquen a sus ingresos y a sus activos.</w:t>
      </w:r>
      <w:r w:rsidR="00125B5C" w:rsidRPr="00780007">
        <w:rPr>
          <w:rFonts w:ascii="Times New Roman" w:eastAsia="Times New Roman" w:hAnsi="Times New Roman" w:cs="Times New Roman"/>
          <w:b/>
          <w:bCs/>
          <w:color w:val="000000"/>
          <w:sz w:val="20"/>
          <w:szCs w:val="20"/>
          <w:bdr w:val="none" w:sz="0" w:space="0" w:color="auto" w:frame="1"/>
          <w:lang w:val="es-ES"/>
        </w:rPr>
        <w:t xml:space="preserve"> </w:t>
      </w:r>
      <w:r w:rsidRPr="00780007">
        <w:rPr>
          <w:rFonts w:ascii="Times New Roman" w:eastAsia="Times New Roman" w:hAnsi="Times New Roman" w:cs="Times New Roman"/>
          <w:color w:val="000000"/>
          <w:sz w:val="20"/>
          <w:szCs w:val="20"/>
          <w:lang w:val="es-ES"/>
        </w:rPr>
        <w:t xml:space="preserve"> </w:t>
      </w:r>
    </w:p>
    <w:p w14:paraId="3B7701A1" w14:textId="5D81F2B6" w:rsidR="004C0BEF" w:rsidRDefault="00125B5C" w:rsidP="00780007">
      <w:p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La mencionada ley</w:t>
      </w:r>
      <w:r w:rsidR="004C0BEF" w:rsidRPr="00780007">
        <w:rPr>
          <w:rFonts w:ascii="Times New Roman" w:eastAsia="Times New Roman" w:hAnsi="Times New Roman" w:cs="Times New Roman"/>
          <w:color w:val="000000"/>
          <w:sz w:val="20"/>
          <w:szCs w:val="20"/>
          <w:lang w:val="es-ES"/>
        </w:rPr>
        <w:t>, requiere que las Instituciones Financieras Extranjeras (FFIs, por sus siglas en inglés) suscriban acuerdos con la autoridad tributaria de E</w:t>
      </w:r>
      <w:r w:rsidR="00FD05AD">
        <w:rPr>
          <w:rFonts w:ascii="Times New Roman" w:eastAsia="Times New Roman" w:hAnsi="Times New Roman" w:cs="Times New Roman"/>
          <w:color w:val="000000"/>
          <w:sz w:val="20"/>
          <w:szCs w:val="20"/>
          <w:lang w:val="es-ES"/>
        </w:rPr>
        <w:t>.</w:t>
      </w:r>
      <w:r w:rsidR="004C0BEF" w:rsidRPr="00780007">
        <w:rPr>
          <w:rFonts w:ascii="Times New Roman" w:eastAsia="Times New Roman" w:hAnsi="Times New Roman" w:cs="Times New Roman"/>
          <w:color w:val="000000"/>
          <w:sz w:val="20"/>
          <w:szCs w:val="20"/>
          <w:lang w:val="es-ES"/>
        </w:rPr>
        <w:t>E.U</w:t>
      </w:r>
      <w:r w:rsidR="00FD05AD">
        <w:rPr>
          <w:rFonts w:ascii="Times New Roman" w:eastAsia="Times New Roman" w:hAnsi="Times New Roman" w:cs="Times New Roman"/>
          <w:color w:val="000000"/>
          <w:sz w:val="20"/>
          <w:szCs w:val="20"/>
          <w:lang w:val="es-ES"/>
        </w:rPr>
        <w:t>.</w:t>
      </w:r>
      <w:r w:rsidR="004C0BEF" w:rsidRPr="00780007">
        <w:rPr>
          <w:rFonts w:ascii="Times New Roman" w:eastAsia="Times New Roman" w:hAnsi="Times New Roman" w:cs="Times New Roman"/>
          <w:color w:val="000000"/>
          <w:sz w:val="20"/>
          <w:szCs w:val="20"/>
          <w:lang w:val="es-ES"/>
        </w:rPr>
        <w:t xml:space="preserve">U. (IRS) a fin de identificar e informar sobre las cuentas financieras de </w:t>
      </w:r>
      <w:r w:rsidR="00780007" w:rsidRPr="00780007">
        <w:rPr>
          <w:rFonts w:ascii="Times New Roman" w:eastAsia="Times New Roman" w:hAnsi="Times New Roman" w:cs="Times New Roman"/>
          <w:color w:val="000000"/>
          <w:sz w:val="20"/>
          <w:szCs w:val="20"/>
          <w:lang w:val="es-ES"/>
        </w:rPr>
        <w:t>p</w:t>
      </w:r>
      <w:r w:rsidR="004C0BEF" w:rsidRPr="00780007">
        <w:rPr>
          <w:rFonts w:ascii="Times New Roman" w:eastAsia="Times New Roman" w:hAnsi="Times New Roman" w:cs="Times New Roman"/>
          <w:color w:val="000000"/>
          <w:sz w:val="20"/>
          <w:szCs w:val="20"/>
          <w:lang w:val="es-ES"/>
        </w:rPr>
        <w:t xml:space="preserve">ersonas </w:t>
      </w:r>
      <w:r w:rsidR="00780007" w:rsidRPr="00780007">
        <w:rPr>
          <w:rFonts w:ascii="Times New Roman" w:eastAsia="Times New Roman" w:hAnsi="Times New Roman" w:cs="Times New Roman"/>
          <w:color w:val="000000"/>
          <w:sz w:val="20"/>
          <w:szCs w:val="20"/>
          <w:lang w:val="es-ES"/>
        </w:rPr>
        <w:t>e</w:t>
      </w:r>
      <w:r w:rsidR="004C0BEF" w:rsidRPr="00780007">
        <w:rPr>
          <w:rFonts w:ascii="Times New Roman" w:eastAsia="Times New Roman" w:hAnsi="Times New Roman" w:cs="Times New Roman"/>
          <w:color w:val="000000"/>
          <w:sz w:val="20"/>
          <w:szCs w:val="20"/>
          <w:lang w:val="es-ES"/>
        </w:rPr>
        <w:t>stadounidenses, así como sobre las Entidades Extranjeras No Financieras (NFFEs, por sus siglas en inglés) en las cuales alguna persona estadounidense posea un porcentaje significativo de la entidad. Se impone una retención del 30% sobre todos los pagos realizados desde fuentes estadounidenses a FFIs o NFFEs que no cumplan con la ley FATCA.</w:t>
      </w:r>
    </w:p>
    <w:p w14:paraId="5D490EC0" w14:textId="77777777" w:rsidR="00FD05AD" w:rsidRPr="00780007" w:rsidRDefault="00FD05AD" w:rsidP="00780007">
      <w:pPr>
        <w:spacing w:after="0" w:line="240" w:lineRule="auto"/>
        <w:jc w:val="both"/>
        <w:textAlignment w:val="baseline"/>
        <w:rPr>
          <w:rFonts w:ascii="Times New Roman" w:eastAsia="Times New Roman" w:hAnsi="Times New Roman" w:cs="Times New Roman"/>
          <w:color w:val="000000"/>
          <w:sz w:val="20"/>
          <w:szCs w:val="20"/>
          <w:lang w:val="es-ES"/>
        </w:rPr>
      </w:pPr>
    </w:p>
    <w:p w14:paraId="4E7F32C3" w14:textId="0FFCBBDF" w:rsidR="00A77FC9" w:rsidRPr="00780007" w:rsidRDefault="00A77FC9" w:rsidP="00780007">
      <w:p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b/>
          <w:bCs/>
          <w:color w:val="000000"/>
          <w:sz w:val="20"/>
          <w:szCs w:val="20"/>
          <w:bdr w:val="none" w:sz="0" w:space="0" w:color="auto" w:frame="1"/>
          <w:lang w:val="es-ES"/>
        </w:rPr>
        <w:t>¿Quiénes son considerad</w:t>
      </w:r>
      <w:r w:rsidR="00780007" w:rsidRPr="00780007">
        <w:rPr>
          <w:rFonts w:ascii="Times New Roman" w:eastAsia="Times New Roman" w:hAnsi="Times New Roman" w:cs="Times New Roman"/>
          <w:b/>
          <w:bCs/>
          <w:color w:val="000000"/>
          <w:sz w:val="20"/>
          <w:szCs w:val="20"/>
          <w:bdr w:val="none" w:sz="0" w:space="0" w:color="auto" w:frame="1"/>
          <w:lang w:val="es-ES"/>
        </w:rPr>
        <w:t>as “Personas estadounidenses”</w:t>
      </w:r>
      <w:r w:rsidRPr="00780007">
        <w:rPr>
          <w:rFonts w:ascii="Times New Roman" w:eastAsia="Times New Roman" w:hAnsi="Times New Roman" w:cs="Times New Roman"/>
          <w:b/>
          <w:bCs/>
          <w:color w:val="000000"/>
          <w:sz w:val="20"/>
          <w:szCs w:val="20"/>
          <w:bdr w:val="none" w:sz="0" w:space="0" w:color="auto" w:frame="1"/>
          <w:lang w:val="es-ES"/>
        </w:rPr>
        <w:t xml:space="preserve"> </w:t>
      </w:r>
      <w:r w:rsidR="00780007" w:rsidRPr="00780007">
        <w:rPr>
          <w:rFonts w:ascii="Times New Roman" w:eastAsia="Times New Roman" w:hAnsi="Times New Roman" w:cs="Times New Roman"/>
          <w:b/>
          <w:bCs/>
          <w:color w:val="000000"/>
          <w:sz w:val="20"/>
          <w:szCs w:val="20"/>
          <w:bdr w:val="none" w:sz="0" w:space="0" w:color="auto" w:frame="1"/>
          <w:lang w:val="es-ES"/>
        </w:rPr>
        <w:t>(</w:t>
      </w:r>
      <w:r w:rsidRPr="00780007">
        <w:rPr>
          <w:rFonts w:ascii="Times New Roman" w:eastAsia="Times New Roman" w:hAnsi="Times New Roman" w:cs="Times New Roman"/>
          <w:b/>
          <w:bCs/>
          <w:color w:val="000000"/>
          <w:sz w:val="20"/>
          <w:szCs w:val="20"/>
          <w:bdr w:val="none" w:sz="0" w:space="0" w:color="auto" w:frame="1"/>
          <w:lang w:val="es-ES"/>
        </w:rPr>
        <w:t>“US Persons”</w:t>
      </w:r>
      <w:r w:rsidR="00780007" w:rsidRPr="00780007">
        <w:rPr>
          <w:rFonts w:ascii="Times New Roman" w:eastAsia="Times New Roman" w:hAnsi="Times New Roman" w:cs="Times New Roman"/>
          <w:b/>
          <w:bCs/>
          <w:color w:val="000000"/>
          <w:sz w:val="20"/>
          <w:szCs w:val="20"/>
          <w:bdr w:val="none" w:sz="0" w:space="0" w:color="auto" w:frame="1"/>
          <w:lang w:val="es-ES"/>
        </w:rPr>
        <w:t>)</w:t>
      </w:r>
      <w:r w:rsidRPr="00780007">
        <w:rPr>
          <w:rFonts w:ascii="Times New Roman" w:eastAsia="Times New Roman" w:hAnsi="Times New Roman" w:cs="Times New Roman"/>
          <w:b/>
          <w:bCs/>
          <w:color w:val="000000"/>
          <w:sz w:val="20"/>
          <w:szCs w:val="20"/>
          <w:bdr w:val="none" w:sz="0" w:space="0" w:color="auto" w:frame="1"/>
          <w:lang w:val="es-ES"/>
        </w:rPr>
        <w:t>?</w:t>
      </w:r>
    </w:p>
    <w:p w14:paraId="00CB5350" w14:textId="7DFAF0F8" w:rsidR="00A77FC9" w:rsidRPr="00780007" w:rsidRDefault="00A77FC9" w:rsidP="00780007">
      <w:pPr>
        <w:numPr>
          <w:ilvl w:val="0"/>
          <w:numId w:val="4"/>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 xml:space="preserve">Ciudadanos estadounidenses, aun si no residen en los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w:t>
      </w:r>
    </w:p>
    <w:p w14:paraId="1347C9D4" w14:textId="77777777" w:rsidR="00A77FC9" w:rsidRPr="00780007" w:rsidRDefault="00A77FC9" w:rsidP="00780007">
      <w:pPr>
        <w:numPr>
          <w:ilvl w:val="0"/>
          <w:numId w:val="4"/>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Personas físicas que cuentan con doble nacionalidad (estadounidense y otra).</w:t>
      </w:r>
    </w:p>
    <w:p w14:paraId="44169279" w14:textId="6595D999" w:rsidR="00A77FC9" w:rsidRPr="00780007" w:rsidRDefault="00A77FC9" w:rsidP="00780007">
      <w:pPr>
        <w:numPr>
          <w:ilvl w:val="0"/>
          <w:numId w:val="4"/>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 xml:space="preserve">Personas físicas residentes en forma permanente en los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 xml:space="preserve"> (poseedores de "Green Card").</w:t>
      </w:r>
    </w:p>
    <w:p w14:paraId="30FE03BD" w14:textId="7992AAF3" w:rsidR="00A77FC9" w:rsidRPr="00780007" w:rsidRDefault="00A77FC9" w:rsidP="00780007">
      <w:pPr>
        <w:numPr>
          <w:ilvl w:val="0"/>
          <w:numId w:val="4"/>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 xml:space="preserve">Personas físicas que hayan permanecido en los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 xml:space="preserve"> por una cantidad de días en los últimos años, en cuyo caso aplican las reglas de la "Prueba de Presencia Sustancial" (*).</w:t>
      </w:r>
    </w:p>
    <w:p w14:paraId="1BE2284E" w14:textId="058EC00B" w:rsidR="00A77FC9" w:rsidRPr="00780007" w:rsidRDefault="00A77FC9" w:rsidP="00780007">
      <w:pPr>
        <w:numPr>
          <w:ilvl w:val="0"/>
          <w:numId w:val="4"/>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Personas jurídicas organizadas</w:t>
      </w:r>
      <w:r w:rsidR="009B005D" w:rsidRPr="00780007">
        <w:rPr>
          <w:rFonts w:ascii="Times New Roman" w:eastAsia="Times New Roman" w:hAnsi="Times New Roman" w:cs="Times New Roman"/>
          <w:color w:val="000000"/>
          <w:sz w:val="20"/>
          <w:szCs w:val="20"/>
          <w:lang w:val="es-ES"/>
        </w:rPr>
        <w:t>, constituidas o regidas</w:t>
      </w:r>
      <w:r w:rsidRPr="00780007">
        <w:rPr>
          <w:rFonts w:ascii="Times New Roman" w:eastAsia="Times New Roman" w:hAnsi="Times New Roman" w:cs="Times New Roman"/>
          <w:color w:val="000000"/>
          <w:sz w:val="20"/>
          <w:szCs w:val="20"/>
          <w:lang w:val="es-ES"/>
        </w:rPr>
        <w:t xml:space="preserve"> bajo las leyes de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w:t>
      </w:r>
    </w:p>
    <w:p w14:paraId="4E30E61E" w14:textId="56C7C566" w:rsidR="00A77FC9" w:rsidRDefault="00A77FC9" w:rsidP="00780007">
      <w:pPr>
        <w:numPr>
          <w:ilvl w:val="0"/>
          <w:numId w:val="4"/>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Sociedades extranjeras, cuando uno o más U.S. Persons posean una participación sobre el capital que represente el 10 % o más del total.</w:t>
      </w:r>
    </w:p>
    <w:p w14:paraId="48ECB83D" w14:textId="77777777" w:rsidR="00FD05AD" w:rsidRPr="00780007" w:rsidRDefault="00FD05AD" w:rsidP="00FD05AD">
      <w:pPr>
        <w:spacing w:after="0" w:line="240" w:lineRule="auto"/>
        <w:ind w:left="720"/>
        <w:jc w:val="both"/>
        <w:textAlignment w:val="baseline"/>
        <w:rPr>
          <w:rFonts w:ascii="Times New Roman" w:eastAsia="Times New Roman" w:hAnsi="Times New Roman" w:cs="Times New Roman"/>
          <w:color w:val="000000"/>
          <w:sz w:val="20"/>
          <w:szCs w:val="20"/>
          <w:lang w:val="es-ES"/>
        </w:rPr>
      </w:pPr>
    </w:p>
    <w:p w14:paraId="44F8E610" w14:textId="77777777" w:rsidR="00A77FC9" w:rsidRPr="00780007" w:rsidRDefault="00A77FC9" w:rsidP="00780007">
      <w:pPr>
        <w:spacing w:after="0" w:line="240" w:lineRule="auto"/>
        <w:jc w:val="both"/>
        <w:textAlignment w:val="baseline"/>
        <w:rPr>
          <w:rFonts w:ascii="Times New Roman" w:eastAsia="Times New Roman" w:hAnsi="Times New Roman" w:cs="Times New Roman"/>
          <w:color w:val="000000"/>
          <w:sz w:val="20"/>
          <w:szCs w:val="20"/>
          <w:lang w:val="es-AR"/>
        </w:rPr>
      </w:pPr>
      <w:r w:rsidRPr="00780007">
        <w:rPr>
          <w:rFonts w:ascii="Times New Roman" w:eastAsia="Times New Roman" w:hAnsi="Times New Roman" w:cs="Times New Roman"/>
          <w:b/>
          <w:bCs/>
          <w:color w:val="000000"/>
          <w:sz w:val="20"/>
          <w:szCs w:val="20"/>
          <w:bdr w:val="none" w:sz="0" w:space="0" w:color="auto" w:frame="1"/>
          <w:lang w:val="es-AR"/>
        </w:rPr>
        <w:t>(*) Prueba de Presencia Sustancial:</w:t>
      </w:r>
    </w:p>
    <w:p w14:paraId="1B9ED380" w14:textId="77777777" w:rsidR="00A77FC9" w:rsidRPr="00780007" w:rsidRDefault="00A77FC9" w:rsidP="00780007">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31 días durante el presente año, y</w:t>
      </w:r>
    </w:p>
    <w:p w14:paraId="37248741" w14:textId="77777777" w:rsidR="00A77FC9" w:rsidRPr="00780007" w:rsidRDefault="00A77FC9" w:rsidP="00780007">
      <w:pPr>
        <w:pStyle w:val="ListParagraph"/>
        <w:numPr>
          <w:ilvl w:val="0"/>
          <w:numId w:val="5"/>
        </w:numPr>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En los 3 últimos años (incluido el presente año) un número total, igual o superior a 183 días, computados de la siguiente manera:</w:t>
      </w:r>
    </w:p>
    <w:p w14:paraId="0F659378" w14:textId="12F47E71" w:rsidR="00A77FC9" w:rsidRPr="00780007" w:rsidRDefault="00A77FC9" w:rsidP="00780007">
      <w:pPr>
        <w:pStyle w:val="ListParagraph"/>
        <w:numPr>
          <w:ilvl w:val="1"/>
          <w:numId w:val="6"/>
        </w:numPr>
        <w:tabs>
          <w:tab w:val="num" w:pos="1222"/>
        </w:tabs>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 xml:space="preserve">Todos los días que ha permanecido en los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 xml:space="preserve"> en el año en curso.</w:t>
      </w:r>
    </w:p>
    <w:p w14:paraId="46D727AD" w14:textId="3227F2E7" w:rsidR="00A77FC9" w:rsidRPr="00780007" w:rsidRDefault="00A77FC9" w:rsidP="00780007">
      <w:pPr>
        <w:pStyle w:val="ListParagraph"/>
        <w:numPr>
          <w:ilvl w:val="1"/>
          <w:numId w:val="6"/>
        </w:numPr>
        <w:tabs>
          <w:tab w:val="num" w:pos="1222"/>
        </w:tabs>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 xml:space="preserve">1/3 de los días que ha permanecido en los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 xml:space="preserve"> en el año precedente y</w:t>
      </w:r>
    </w:p>
    <w:p w14:paraId="471A03D2" w14:textId="79B630FA" w:rsidR="00A77FC9" w:rsidRPr="00780007" w:rsidRDefault="00A77FC9" w:rsidP="00780007">
      <w:pPr>
        <w:pStyle w:val="ListParagraph"/>
        <w:numPr>
          <w:ilvl w:val="1"/>
          <w:numId w:val="6"/>
        </w:numPr>
        <w:tabs>
          <w:tab w:val="num" w:pos="1222"/>
        </w:tabs>
        <w:spacing w:after="0" w:line="240" w:lineRule="auto"/>
        <w:jc w:val="both"/>
        <w:textAlignment w:val="baseline"/>
        <w:rPr>
          <w:rFonts w:ascii="Times New Roman" w:eastAsia="Times New Roman" w:hAnsi="Times New Roman" w:cs="Times New Roman"/>
          <w:color w:val="000000"/>
          <w:sz w:val="20"/>
          <w:szCs w:val="20"/>
          <w:lang w:val="es-ES"/>
        </w:rPr>
      </w:pPr>
      <w:r w:rsidRPr="00780007">
        <w:rPr>
          <w:rFonts w:ascii="Times New Roman" w:eastAsia="Times New Roman" w:hAnsi="Times New Roman" w:cs="Times New Roman"/>
          <w:color w:val="000000"/>
          <w:sz w:val="20"/>
          <w:szCs w:val="20"/>
          <w:lang w:val="es-ES"/>
        </w:rPr>
        <w:t xml:space="preserve">1/6 de los días que ha permanecido en los </w:t>
      </w:r>
      <w:r w:rsidR="00FD05AD">
        <w:rPr>
          <w:rFonts w:ascii="Times New Roman" w:eastAsia="Times New Roman" w:hAnsi="Times New Roman" w:cs="Times New Roman"/>
          <w:color w:val="000000"/>
          <w:sz w:val="20"/>
          <w:szCs w:val="20"/>
          <w:lang w:val="es-ES"/>
        </w:rPr>
        <w:t>E.E.U.U.</w:t>
      </w:r>
      <w:r w:rsidRPr="00780007">
        <w:rPr>
          <w:rFonts w:ascii="Times New Roman" w:eastAsia="Times New Roman" w:hAnsi="Times New Roman" w:cs="Times New Roman"/>
          <w:color w:val="000000"/>
          <w:sz w:val="20"/>
          <w:szCs w:val="20"/>
          <w:lang w:val="es-ES"/>
        </w:rPr>
        <w:t xml:space="preserve"> en el segundo año precedente.</w:t>
      </w:r>
    </w:p>
    <w:p w14:paraId="4C115F50" w14:textId="77777777" w:rsidR="00A77FC9" w:rsidRPr="00780007" w:rsidRDefault="00A77FC9" w:rsidP="00780007">
      <w:pPr>
        <w:spacing w:after="0" w:line="240" w:lineRule="auto"/>
        <w:jc w:val="both"/>
        <w:textAlignment w:val="baseline"/>
        <w:rPr>
          <w:rFonts w:ascii="Times New Roman" w:eastAsia="Times New Roman" w:hAnsi="Times New Roman" w:cs="Times New Roman"/>
          <w:color w:val="000000"/>
          <w:sz w:val="20"/>
          <w:szCs w:val="20"/>
          <w:lang w:val="es-ES"/>
        </w:rPr>
      </w:pPr>
    </w:p>
    <w:p w14:paraId="3F9C321B" w14:textId="77777777" w:rsidR="00941CD6" w:rsidRPr="00780007" w:rsidRDefault="00941CD6" w:rsidP="00780007">
      <w:pPr>
        <w:spacing w:after="0" w:line="240" w:lineRule="auto"/>
        <w:jc w:val="both"/>
        <w:textAlignment w:val="baseline"/>
        <w:rPr>
          <w:rFonts w:ascii="Times New Roman" w:eastAsia="Times New Roman" w:hAnsi="Times New Roman" w:cs="Times New Roman"/>
          <w:color w:val="000000"/>
          <w:sz w:val="20"/>
          <w:szCs w:val="20"/>
          <w:lang w:val="es-ES"/>
        </w:rPr>
      </w:pPr>
    </w:p>
    <w:p w14:paraId="10B4451C" w14:textId="445C7334" w:rsidR="00A77FC9" w:rsidRPr="00780007" w:rsidRDefault="00A77FC9" w:rsidP="00780007">
      <w:pPr>
        <w:spacing w:after="0" w:line="240" w:lineRule="auto"/>
        <w:jc w:val="both"/>
        <w:textAlignment w:val="baseline"/>
        <w:rPr>
          <w:rFonts w:ascii="Times New Roman" w:eastAsia="Times New Roman" w:hAnsi="Times New Roman" w:cs="Times New Roman"/>
          <w:b/>
          <w:color w:val="000000"/>
          <w:sz w:val="20"/>
          <w:szCs w:val="20"/>
          <w:lang w:val="es-ES"/>
        </w:rPr>
      </w:pPr>
      <w:r w:rsidRPr="00780007">
        <w:rPr>
          <w:rFonts w:ascii="Times New Roman" w:eastAsia="Times New Roman" w:hAnsi="Times New Roman" w:cs="Times New Roman"/>
          <w:b/>
          <w:color w:val="000000"/>
          <w:sz w:val="20"/>
          <w:szCs w:val="20"/>
          <w:lang w:val="es-ES"/>
        </w:rPr>
        <w:t>Resolución General</w:t>
      </w:r>
      <w:r w:rsidR="0015534B" w:rsidRPr="00780007">
        <w:rPr>
          <w:rFonts w:ascii="Times New Roman" w:eastAsia="Times New Roman" w:hAnsi="Times New Roman" w:cs="Times New Roman"/>
          <w:b/>
          <w:color w:val="000000"/>
          <w:sz w:val="20"/>
          <w:szCs w:val="20"/>
          <w:lang w:val="es-ES"/>
        </w:rPr>
        <w:t xml:space="preserve"> AFIP</w:t>
      </w:r>
      <w:r w:rsidRPr="00780007">
        <w:rPr>
          <w:rFonts w:ascii="Times New Roman" w:eastAsia="Times New Roman" w:hAnsi="Times New Roman" w:cs="Times New Roman"/>
          <w:b/>
          <w:color w:val="000000"/>
          <w:sz w:val="20"/>
          <w:szCs w:val="20"/>
          <w:lang w:val="es-ES"/>
        </w:rPr>
        <w:t xml:space="preserve"> N° </w:t>
      </w:r>
      <w:r w:rsidR="0015534B" w:rsidRPr="00780007">
        <w:rPr>
          <w:rFonts w:ascii="Times New Roman" w:eastAsia="Times New Roman" w:hAnsi="Times New Roman" w:cs="Times New Roman"/>
          <w:b/>
          <w:color w:val="000000"/>
          <w:sz w:val="20"/>
          <w:szCs w:val="20"/>
          <w:lang w:val="es-ES"/>
        </w:rPr>
        <w:t>4056-E/2017</w:t>
      </w:r>
    </w:p>
    <w:p w14:paraId="49F4D7D2" w14:textId="77777777" w:rsidR="005F1929" w:rsidRPr="00780007" w:rsidRDefault="005F1929" w:rsidP="00780007">
      <w:pPr>
        <w:spacing w:after="0" w:line="240" w:lineRule="auto"/>
        <w:jc w:val="both"/>
        <w:textAlignment w:val="baseline"/>
        <w:rPr>
          <w:rFonts w:ascii="Times New Roman" w:eastAsia="Times New Roman" w:hAnsi="Times New Roman" w:cs="Times New Roman"/>
          <w:color w:val="000000"/>
          <w:sz w:val="20"/>
          <w:szCs w:val="20"/>
          <w:lang w:val="es-ES"/>
        </w:rPr>
      </w:pPr>
    </w:p>
    <w:p w14:paraId="54B01FBC" w14:textId="5AC84838" w:rsidR="00537530" w:rsidRPr="00780007" w:rsidRDefault="00537530"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color w:val="000000"/>
          <w:sz w:val="20"/>
          <w:szCs w:val="20"/>
          <w:bdr w:val="none" w:sz="0" w:space="0" w:color="auto" w:frame="1"/>
          <w:lang w:val="es-ES"/>
        </w:rPr>
        <w:t>Deja sin efecto y sustituye el régimen de información y de debida diligencia previsto en la Resolución General AFIP N° 3826/20</w:t>
      </w:r>
      <w:r w:rsidR="00780007">
        <w:rPr>
          <w:rFonts w:ascii="Times New Roman" w:eastAsia="Times New Roman" w:hAnsi="Times New Roman" w:cs="Times New Roman"/>
          <w:color w:val="000000"/>
          <w:sz w:val="20"/>
          <w:szCs w:val="20"/>
          <w:bdr w:val="none" w:sz="0" w:space="0" w:color="auto" w:frame="1"/>
          <w:lang w:val="es-ES"/>
        </w:rPr>
        <w:t>15</w:t>
      </w:r>
      <w:r w:rsidR="00B30825" w:rsidRPr="00780007">
        <w:rPr>
          <w:rFonts w:ascii="Times New Roman" w:eastAsia="Times New Roman" w:hAnsi="Times New Roman" w:cs="Times New Roman"/>
          <w:color w:val="000000"/>
          <w:sz w:val="20"/>
          <w:szCs w:val="20"/>
          <w:bdr w:val="none" w:sz="0" w:space="0" w:color="auto" w:frame="1"/>
          <w:lang w:val="es-ES"/>
        </w:rPr>
        <w:t xml:space="preserve">, al adoptar el denominado “Enfoque Amplio”, el cual </w:t>
      </w:r>
      <w:r w:rsidR="00780007">
        <w:rPr>
          <w:rFonts w:ascii="Times New Roman" w:eastAsia="Times New Roman" w:hAnsi="Times New Roman" w:cs="Times New Roman"/>
          <w:color w:val="000000"/>
          <w:sz w:val="20"/>
          <w:szCs w:val="20"/>
          <w:bdr w:val="none" w:sz="0" w:space="0" w:color="auto" w:frame="1"/>
          <w:lang w:val="es-ES"/>
        </w:rPr>
        <w:t>amplía</w:t>
      </w:r>
      <w:r w:rsidR="00B30825" w:rsidRPr="00780007">
        <w:rPr>
          <w:rFonts w:ascii="Times New Roman" w:eastAsia="Times New Roman" w:hAnsi="Times New Roman" w:cs="Times New Roman"/>
          <w:color w:val="000000"/>
          <w:sz w:val="20"/>
          <w:szCs w:val="20"/>
          <w:bdr w:val="none" w:sz="0" w:space="0" w:color="auto" w:frame="1"/>
          <w:lang w:val="es-ES"/>
        </w:rPr>
        <w:t xml:space="preserve"> el alcance de los procedimientos de debida diligencia a fin de hacerlos extensivos a todos los sujetos no residentes, independientemente que se haya suscripto un instrumento relativo al intercambio de información con la jurisdicción en la que dichos sujetos posean las cuentas.</w:t>
      </w:r>
      <w:r w:rsidR="005579DC" w:rsidRPr="00780007">
        <w:rPr>
          <w:rFonts w:ascii="Times New Roman" w:eastAsia="Times New Roman" w:hAnsi="Times New Roman" w:cs="Times New Roman"/>
          <w:color w:val="000000"/>
          <w:sz w:val="20"/>
          <w:szCs w:val="20"/>
          <w:bdr w:val="none" w:sz="0" w:space="0" w:color="auto" w:frame="1"/>
          <w:lang w:val="es-ES"/>
        </w:rPr>
        <w:t xml:space="preserve"> </w:t>
      </w:r>
      <w:r w:rsidR="00B30825" w:rsidRPr="00780007">
        <w:rPr>
          <w:rFonts w:ascii="Times New Roman" w:eastAsia="Times New Roman" w:hAnsi="Times New Roman" w:cs="Times New Roman"/>
          <w:color w:val="000000"/>
          <w:sz w:val="20"/>
          <w:szCs w:val="20"/>
          <w:bdr w:val="none" w:sz="0" w:space="0" w:color="auto" w:frame="1"/>
          <w:lang w:val="es-ES"/>
        </w:rPr>
        <w:t>De es</w:t>
      </w:r>
      <w:r w:rsidR="00780007">
        <w:rPr>
          <w:rFonts w:ascii="Times New Roman" w:eastAsia="Times New Roman" w:hAnsi="Times New Roman" w:cs="Times New Roman"/>
          <w:color w:val="000000"/>
          <w:sz w:val="20"/>
          <w:szCs w:val="20"/>
          <w:bdr w:val="none" w:sz="0" w:space="0" w:color="auto" w:frame="1"/>
          <w:lang w:val="es-ES"/>
        </w:rPr>
        <w:t>t</w:t>
      </w:r>
      <w:r w:rsidR="00B30825" w:rsidRPr="00780007">
        <w:rPr>
          <w:rFonts w:ascii="Times New Roman" w:eastAsia="Times New Roman" w:hAnsi="Times New Roman" w:cs="Times New Roman"/>
          <w:color w:val="000000"/>
          <w:sz w:val="20"/>
          <w:szCs w:val="20"/>
          <w:bdr w:val="none" w:sz="0" w:space="0" w:color="auto" w:frame="1"/>
          <w:lang w:val="es-ES"/>
        </w:rPr>
        <w:t>a forma, e</w:t>
      </w:r>
      <w:r w:rsidR="00A77FC9" w:rsidRPr="00780007">
        <w:rPr>
          <w:rFonts w:ascii="Times New Roman" w:eastAsia="Times New Roman" w:hAnsi="Times New Roman" w:cs="Times New Roman"/>
          <w:color w:val="000000"/>
          <w:sz w:val="20"/>
          <w:szCs w:val="20"/>
          <w:bdr w:val="none" w:sz="0" w:space="0" w:color="auto" w:frame="1"/>
          <w:lang w:val="es-ES"/>
        </w:rPr>
        <w:t xml:space="preserve">stablece un </w:t>
      </w:r>
      <w:r w:rsidR="00A77FC9" w:rsidRPr="00780007">
        <w:rPr>
          <w:rFonts w:ascii="Times New Roman" w:eastAsia="Times New Roman" w:hAnsi="Times New Roman" w:cs="Times New Roman"/>
          <w:b/>
          <w:bCs/>
          <w:color w:val="000000"/>
          <w:sz w:val="20"/>
          <w:szCs w:val="20"/>
          <w:bdr w:val="none" w:sz="0" w:space="0" w:color="auto" w:frame="1"/>
          <w:lang w:val="es-ES"/>
        </w:rPr>
        <w:t xml:space="preserve">Régimen de Información </w:t>
      </w:r>
      <w:r w:rsidR="0015534B" w:rsidRPr="00780007">
        <w:rPr>
          <w:rFonts w:ascii="Times New Roman" w:eastAsia="Times New Roman" w:hAnsi="Times New Roman" w:cs="Times New Roman"/>
          <w:b/>
          <w:bCs/>
          <w:color w:val="000000"/>
          <w:sz w:val="20"/>
          <w:szCs w:val="20"/>
          <w:bdr w:val="none" w:sz="0" w:space="0" w:color="auto" w:frame="1"/>
          <w:lang w:val="es-ES"/>
        </w:rPr>
        <w:t>Financiera de Sujetos no Residentes</w:t>
      </w:r>
      <w:r w:rsidR="0015534B" w:rsidRPr="00780007">
        <w:rPr>
          <w:rFonts w:ascii="Times New Roman" w:eastAsia="Times New Roman" w:hAnsi="Times New Roman" w:cs="Times New Roman"/>
          <w:color w:val="000000"/>
          <w:sz w:val="20"/>
          <w:szCs w:val="20"/>
          <w:bdr w:val="none" w:sz="0" w:space="0" w:color="auto" w:frame="1"/>
          <w:lang w:val="es-ES"/>
        </w:rPr>
        <w:t xml:space="preserve">, mediante el intercambio de información con otras administraciones tributarias y la cooperación con otros países y organismos internacionales a </w:t>
      </w:r>
      <w:r w:rsidRPr="00780007">
        <w:rPr>
          <w:rFonts w:ascii="Times New Roman" w:eastAsia="Times New Roman" w:hAnsi="Times New Roman" w:cs="Times New Roman"/>
          <w:color w:val="000000"/>
          <w:sz w:val="20"/>
          <w:szCs w:val="20"/>
          <w:bdr w:val="none" w:sz="0" w:space="0" w:color="auto" w:frame="1"/>
          <w:lang w:val="es-ES"/>
        </w:rPr>
        <w:t>los efectos</w:t>
      </w:r>
      <w:r w:rsidR="0015534B" w:rsidRPr="00780007">
        <w:rPr>
          <w:rFonts w:ascii="Times New Roman" w:eastAsia="Times New Roman" w:hAnsi="Times New Roman" w:cs="Times New Roman"/>
          <w:color w:val="000000"/>
          <w:sz w:val="20"/>
          <w:szCs w:val="20"/>
          <w:bdr w:val="none" w:sz="0" w:space="0" w:color="auto" w:frame="1"/>
          <w:lang w:val="es-ES"/>
        </w:rPr>
        <w:t xml:space="preserve"> de combatir el fraude, la evasión y las prácticas de elusión fiscal.</w:t>
      </w:r>
      <w:r w:rsidR="002C7765" w:rsidRPr="00780007">
        <w:rPr>
          <w:rFonts w:ascii="Times New Roman" w:eastAsia="Times New Roman" w:hAnsi="Times New Roman" w:cs="Times New Roman"/>
          <w:color w:val="000000"/>
          <w:sz w:val="20"/>
          <w:szCs w:val="20"/>
          <w:bdr w:val="none" w:sz="0" w:space="0" w:color="auto" w:frame="1"/>
          <w:lang w:val="es-ES"/>
        </w:rPr>
        <w:t xml:space="preserve"> Se</w:t>
      </w:r>
      <w:r w:rsidR="00B30825" w:rsidRPr="00780007">
        <w:rPr>
          <w:rFonts w:ascii="Times New Roman" w:eastAsia="Times New Roman" w:hAnsi="Times New Roman" w:cs="Times New Roman"/>
          <w:color w:val="000000"/>
          <w:sz w:val="20"/>
          <w:szCs w:val="20"/>
          <w:bdr w:val="none" w:sz="0" w:space="0" w:color="auto" w:frame="1"/>
          <w:lang w:val="es-ES"/>
        </w:rPr>
        <w:t xml:space="preserve"> encuentra alineado con</w:t>
      </w:r>
      <w:r w:rsidRPr="00780007">
        <w:rPr>
          <w:rFonts w:ascii="Times New Roman" w:eastAsia="Times New Roman" w:hAnsi="Times New Roman" w:cs="Times New Roman"/>
          <w:color w:val="000000"/>
          <w:sz w:val="20"/>
          <w:szCs w:val="20"/>
          <w:bdr w:val="none" w:sz="0" w:space="0" w:color="auto" w:frame="1"/>
          <w:lang w:val="es-ES"/>
        </w:rPr>
        <w:t xml:space="preserve"> las </w:t>
      </w:r>
      <w:r w:rsidR="005579DC" w:rsidRPr="00780007">
        <w:rPr>
          <w:rFonts w:ascii="Times New Roman" w:eastAsia="Times New Roman" w:hAnsi="Times New Roman" w:cs="Times New Roman"/>
          <w:color w:val="000000"/>
          <w:sz w:val="20"/>
          <w:szCs w:val="20"/>
          <w:bdr w:val="none" w:sz="0" w:space="0" w:color="auto" w:frame="1"/>
          <w:lang w:val="es-ES"/>
        </w:rPr>
        <w:t>“</w:t>
      </w:r>
      <w:r w:rsidRPr="00780007">
        <w:rPr>
          <w:rFonts w:ascii="Times New Roman" w:eastAsia="Times New Roman" w:hAnsi="Times New Roman" w:cs="Times New Roman"/>
          <w:color w:val="000000"/>
          <w:sz w:val="20"/>
          <w:szCs w:val="20"/>
          <w:bdr w:val="none" w:sz="0" w:space="0" w:color="auto" w:frame="1"/>
          <w:lang w:val="es-ES"/>
        </w:rPr>
        <w:t>Normas Comunes en Materia de Presentación de Información</w:t>
      </w:r>
      <w:r w:rsidR="005579DC" w:rsidRPr="00780007">
        <w:rPr>
          <w:rFonts w:ascii="Times New Roman" w:eastAsia="Times New Roman" w:hAnsi="Times New Roman" w:cs="Times New Roman"/>
          <w:color w:val="000000"/>
          <w:sz w:val="20"/>
          <w:szCs w:val="20"/>
          <w:bdr w:val="none" w:sz="0" w:space="0" w:color="auto" w:frame="1"/>
          <w:lang w:val="es-ES"/>
        </w:rPr>
        <w:t>”</w:t>
      </w:r>
      <w:r w:rsidRPr="00780007">
        <w:rPr>
          <w:rFonts w:ascii="Times New Roman" w:eastAsia="Times New Roman" w:hAnsi="Times New Roman" w:cs="Times New Roman"/>
          <w:color w:val="000000"/>
          <w:sz w:val="20"/>
          <w:szCs w:val="20"/>
          <w:bdr w:val="none" w:sz="0" w:space="0" w:color="auto" w:frame="1"/>
          <w:lang w:val="es-ES"/>
        </w:rPr>
        <w:t xml:space="preserve"> (C</w:t>
      </w:r>
      <w:r w:rsidR="005579DC" w:rsidRPr="00780007">
        <w:rPr>
          <w:rFonts w:ascii="Times New Roman" w:eastAsia="Times New Roman" w:hAnsi="Times New Roman" w:cs="Times New Roman"/>
          <w:color w:val="000000"/>
          <w:sz w:val="20"/>
          <w:szCs w:val="20"/>
          <w:bdr w:val="none" w:sz="0" w:space="0" w:color="auto" w:frame="1"/>
          <w:lang w:val="es-ES"/>
        </w:rPr>
        <w:t>ommon Reporting Standard -</w:t>
      </w:r>
      <w:r w:rsidR="005579DC" w:rsidRPr="00780007">
        <w:rPr>
          <w:rFonts w:ascii="Times New Roman" w:eastAsia="Times New Roman" w:hAnsi="Times New Roman" w:cs="Times New Roman"/>
          <w:b/>
          <w:bCs/>
          <w:color w:val="000000"/>
          <w:sz w:val="20"/>
          <w:szCs w:val="20"/>
          <w:bdr w:val="none" w:sz="0" w:space="0" w:color="auto" w:frame="1"/>
          <w:lang w:val="es-ES"/>
        </w:rPr>
        <w:t>C</w:t>
      </w:r>
      <w:r w:rsidRPr="00780007">
        <w:rPr>
          <w:rFonts w:ascii="Times New Roman" w:eastAsia="Times New Roman" w:hAnsi="Times New Roman" w:cs="Times New Roman"/>
          <w:b/>
          <w:bCs/>
          <w:color w:val="000000"/>
          <w:sz w:val="20"/>
          <w:szCs w:val="20"/>
          <w:bdr w:val="none" w:sz="0" w:space="0" w:color="auto" w:frame="1"/>
          <w:lang w:val="es-ES"/>
        </w:rPr>
        <w:t>RS</w:t>
      </w:r>
      <w:r w:rsidR="005579DC" w:rsidRPr="00780007">
        <w:rPr>
          <w:rFonts w:ascii="Times New Roman" w:eastAsia="Times New Roman" w:hAnsi="Times New Roman" w:cs="Times New Roman"/>
          <w:color w:val="000000"/>
          <w:sz w:val="20"/>
          <w:szCs w:val="20"/>
          <w:bdr w:val="none" w:sz="0" w:space="0" w:color="auto" w:frame="1"/>
          <w:lang w:val="es-ES"/>
        </w:rPr>
        <w:t>-</w:t>
      </w:r>
      <w:r w:rsidRPr="00780007">
        <w:rPr>
          <w:rFonts w:ascii="Times New Roman" w:eastAsia="Times New Roman" w:hAnsi="Times New Roman" w:cs="Times New Roman"/>
          <w:color w:val="000000"/>
          <w:sz w:val="20"/>
          <w:szCs w:val="20"/>
          <w:bdr w:val="none" w:sz="0" w:space="0" w:color="auto" w:frame="1"/>
          <w:lang w:val="es-ES"/>
        </w:rPr>
        <w:t xml:space="preserve"> por sus siglas en inglés</w:t>
      </w:r>
      <w:r w:rsidR="005579DC" w:rsidRPr="00780007">
        <w:rPr>
          <w:rFonts w:ascii="Times New Roman" w:eastAsia="Times New Roman" w:hAnsi="Times New Roman" w:cs="Times New Roman"/>
          <w:color w:val="000000"/>
          <w:sz w:val="20"/>
          <w:szCs w:val="20"/>
          <w:bdr w:val="none" w:sz="0" w:space="0" w:color="auto" w:frame="1"/>
          <w:lang w:val="es-ES"/>
        </w:rPr>
        <w:t>)</w:t>
      </w:r>
      <w:r w:rsidRPr="00780007">
        <w:rPr>
          <w:rFonts w:ascii="Times New Roman" w:eastAsia="Times New Roman" w:hAnsi="Times New Roman" w:cs="Times New Roman"/>
          <w:color w:val="000000"/>
          <w:sz w:val="20"/>
          <w:szCs w:val="20"/>
          <w:bdr w:val="none" w:sz="0" w:space="0" w:color="auto" w:frame="1"/>
          <w:lang w:val="es-ES"/>
        </w:rPr>
        <w:t xml:space="preserve"> elaborado por la Organización para la Cooperación y el Desarrollo Económicos </w:t>
      </w:r>
      <w:r w:rsidRPr="00780007">
        <w:rPr>
          <w:rFonts w:ascii="Times New Roman" w:eastAsia="Times New Roman" w:hAnsi="Times New Roman" w:cs="Times New Roman"/>
          <w:b/>
          <w:bCs/>
          <w:color w:val="000000"/>
          <w:sz w:val="20"/>
          <w:szCs w:val="20"/>
          <w:bdr w:val="none" w:sz="0" w:space="0" w:color="auto" w:frame="1"/>
          <w:lang w:val="es-ES"/>
        </w:rPr>
        <w:t>(OCDE</w:t>
      </w:r>
      <w:r w:rsidRPr="00780007">
        <w:rPr>
          <w:rFonts w:ascii="Times New Roman" w:eastAsia="Times New Roman" w:hAnsi="Times New Roman" w:cs="Times New Roman"/>
          <w:color w:val="000000"/>
          <w:sz w:val="20"/>
          <w:szCs w:val="20"/>
          <w:bdr w:val="none" w:sz="0" w:space="0" w:color="auto" w:frame="1"/>
          <w:lang w:val="es-ES"/>
        </w:rPr>
        <w:t xml:space="preserve">). </w:t>
      </w:r>
    </w:p>
    <w:p w14:paraId="734D5340" w14:textId="07E43698" w:rsidR="00B30825" w:rsidRPr="00780007" w:rsidRDefault="00B30825" w:rsidP="00780007">
      <w:pPr>
        <w:spacing w:after="0" w:line="240" w:lineRule="auto"/>
        <w:jc w:val="both"/>
        <w:textAlignment w:val="baseline"/>
        <w:rPr>
          <w:rFonts w:ascii="Times New Roman" w:eastAsia="Times New Roman" w:hAnsi="Times New Roman" w:cs="Times New Roman"/>
          <w:sz w:val="20"/>
          <w:szCs w:val="20"/>
          <w:bdr w:val="none" w:sz="0" w:space="0" w:color="auto" w:frame="1"/>
          <w:lang w:val="es-ES"/>
        </w:rPr>
      </w:pPr>
    </w:p>
    <w:p w14:paraId="39E33A01" w14:textId="03220E1D" w:rsidR="00523C46" w:rsidRPr="00780007" w:rsidRDefault="002C7765"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color w:val="000000"/>
          <w:sz w:val="20"/>
          <w:szCs w:val="20"/>
          <w:bdr w:val="none" w:sz="0" w:space="0" w:color="auto" w:frame="1"/>
          <w:lang w:val="es-ES"/>
        </w:rPr>
        <w:t xml:space="preserve">El Régimen </w:t>
      </w:r>
      <w:r w:rsidRPr="00780007">
        <w:rPr>
          <w:rFonts w:ascii="Times New Roman" w:eastAsia="Times New Roman" w:hAnsi="Times New Roman" w:cs="Times New Roman"/>
          <w:b/>
          <w:bCs/>
          <w:color w:val="000000"/>
          <w:sz w:val="20"/>
          <w:szCs w:val="20"/>
          <w:bdr w:val="none" w:sz="0" w:space="0" w:color="auto" w:frame="1"/>
          <w:lang w:val="es-ES"/>
        </w:rPr>
        <w:t>alcanza</w:t>
      </w:r>
      <w:r w:rsidRPr="00780007">
        <w:rPr>
          <w:rFonts w:ascii="Times New Roman" w:eastAsia="Times New Roman" w:hAnsi="Times New Roman" w:cs="Times New Roman"/>
          <w:color w:val="000000"/>
          <w:sz w:val="20"/>
          <w:szCs w:val="20"/>
          <w:bdr w:val="none" w:sz="0" w:space="0" w:color="auto" w:frame="1"/>
          <w:lang w:val="es-ES"/>
        </w:rPr>
        <w:t xml:space="preserve"> a</w:t>
      </w:r>
      <w:r w:rsidR="00523C46" w:rsidRPr="00780007">
        <w:rPr>
          <w:rFonts w:ascii="Times New Roman" w:eastAsia="Times New Roman" w:hAnsi="Times New Roman" w:cs="Times New Roman"/>
          <w:color w:val="000000"/>
          <w:sz w:val="20"/>
          <w:szCs w:val="20"/>
          <w:bdr w:val="none" w:sz="0" w:space="0" w:color="auto" w:frame="1"/>
          <w:lang w:val="es-ES"/>
        </w:rPr>
        <w:t xml:space="preserve"> las instituciones financieras, instituciones financieras obligadas, instituciones financieras de una jurisdicción participante; instituciones de custodia; y entidades de inversión definidas en el Apartado A del Artículo VIII del CRS (mencionadas en el Anexo I de la Resolución General N° 4056-E/2017), incluyendo los contratos o esquemas que califiquen como tales.</w:t>
      </w:r>
    </w:p>
    <w:p w14:paraId="4C841439" w14:textId="0208B690" w:rsidR="003D5586" w:rsidRPr="00780007" w:rsidRDefault="003D558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0B678237" w14:textId="6004276D" w:rsidR="003D5586" w:rsidRPr="00780007" w:rsidRDefault="003D558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color w:val="000000"/>
          <w:sz w:val="20"/>
          <w:szCs w:val="20"/>
          <w:bdr w:val="none" w:sz="0" w:space="0" w:color="auto" w:frame="1"/>
          <w:lang w:val="es-ES"/>
        </w:rPr>
        <w:t xml:space="preserve">En el marco del compromiso que ha asumido la República Argentina a través de la suscripción de la “Declaración sobre intercambio Automático de Información en Asuntos Fiscales” para implementar el estándar referido al intercambio de información de cuentas financieras desarrollado por la OCDE y las disposiciones vinculadas a la Ley de Cumplimiento Fiscal de Cuentas Extranjeras (FATCA) de los Estados Unidos de </w:t>
      </w:r>
      <w:r w:rsidRPr="00780007">
        <w:rPr>
          <w:rFonts w:ascii="Times New Roman" w:eastAsia="Times New Roman" w:hAnsi="Times New Roman" w:cs="Times New Roman"/>
          <w:color w:val="000000"/>
          <w:sz w:val="20"/>
          <w:szCs w:val="20"/>
          <w:bdr w:val="none" w:sz="0" w:space="0" w:color="auto" w:frame="1"/>
          <w:lang w:val="es-ES"/>
        </w:rPr>
        <w:lastRenderedPageBreak/>
        <w:t xml:space="preserve">América, los </w:t>
      </w:r>
      <w:r w:rsidRPr="00780007">
        <w:rPr>
          <w:rFonts w:ascii="Times New Roman" w:eastAsia="Times New Roman" w:hAnsi="Times New Roman" w:cs="Times New Roman"/>
          <w:b/>
          <w:bCs/>
          <w:color w:val="000000"/>
          <w:sz w:val="20"/>
          <w:szCs w:val="20"/>
          <w:bdr w:val="none" w:sz="0" w:space="0" w:color="auto" w:frame="1"/>
          <w:lang w:val="es-ES"/>
        </w:rPr>
        <w:t>agentes registrados ante la Comisión Nacional de Valores</w:t>
      </w:r>
      <w:r w:rsidR="007C66F3" w:rsidRPr="00780007">
        <w:rPr>
          <w:rFonts w:ascii="Times New Roman" w:eastAsia="Times New Roman" w:hAnsi="Times New Roman" w:cs="Times New Roman"/>
          <w:b/>
          <w:bCs/>
          <w:color w:val="000000"/>
          <w:sz w:val="20"/>
          <w:szCs w:val="20"/>
          <w:bdr w:val="none" w:sz="0" w:space="0" w:color="auto" w:frame="1"/>
          <w:lang w:val="es-ES"/>
        </w:rPr>
        <w:t xml:space="preserve"> (CNV)</w:t>
      </w:r>
      <w:r w:rsidRPr="00780007">
        <w:rPr>
          <w:rFonts w:ascii="Times New Roman" w:eastAsia="Times New Roman" w:hAnsi="Times New Roman" w:cs="Times New Roman"/>
          <w:color w:val="000000"/>
          <w:sz w:val="20"/>
          <w:szCs w:val="20"/>
          <w:bdr w:val="none" w:sz="0" w:space="0" w:color="auto" w:frame="1"/>
          <w:lang w:val="es-ES"/>
        </w:rPr>
        <w:t xml:space="preserve">, deben arbitrar las medidas necesarias para identificar los titulares de cuentas alcanzados por dicho estándar. </w:t>
      </w:r>
    </w:p>
    <w:p w14:paraId="68BF5032" w14:textId="77777777" w:rsidR="003D5586" w:rsidRPr="00780007" w:rsidRDefault="003D558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606610A6" w14:textId="0B78A992" w:rsidR="003D5586" w:rsidRPr="00780007" w:rsidRDefault="003D558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color w:val="000000"/>
          <w:sz w:val="20"/>
          <w:szCs w:val="20"/>
          <w:bdr w:val="none" w:sz="0" w:space="0" w:color="auto" w:frame="1"/>
          <w:lang w:val="es-ES"/>
        </w:rPr>
        <w:t xml:space="preserve">A esos efectos, los legajos de tales clientes en poder de los agentes registrados deben incluir en el caso de </w:t>
      </w:r>
      <w:r w:rsidRPr="00780007">
        <w:rPr>
          <w:rFonts w:ascii="Times New Roman" w:eastAsia="Times New Roman" w:hAnsi="Times New Roman" w:cs="Times New Roman"/>
          <w:b/>
          <w:bCs/>
          <w:color w:val="000000"/>
          <w:sz w:val="20"/>
          <w:szCs w:val="20"/>
          <w:bdr w:val="none" w:sz="0" w:space="0" w:color="auto" w:frame="1"/>
          <w:lang w:val="es-ES"/>
        </w:rPr>
        <w:t>personas físicas</w:t>
      </w:r>
      <w:r w:rsidRPr="00780007">
        <w:rPr>
          <w:rFonts w:ascii="Times New Roman" w:eastAsia="Times New Roman" w:hAnsi="Times New Roman" w:cs="Times New Roman"/>
          <w:color w:val="000000"/>
          <w:sz w:val="20"/>
          <w:szCs w:val="20"/>
          <w:bdr w:val="none" w:sz="0" w:space="0" w:color="auto" w:frame="1"/>
          <w:lang w:val="es-ES"/>
        </w:rPr>
        <w:t xml:space="preserve"> la información sobre nacionalidad, país de residencia fiscal y número de identificación fiscal en ese país, domicilio y lugar y fecha de nacimiento. En el caso de las </w:t>
      </w:r>
      <w:r w:rsidRPr="00780007">
        <w:rPr>
          <w:rFonts w:ascii="Times New Roman" w:eastAsia="Times New Roman" w:hAnsi="Times New Roman" w:cs="Times New Roman"/>
          <w:b/>
          <w:bCs/>
          <w:color w:val="000000"/>
          <w:sz w:val="20"/>
          <w:szCs w:val="20"/>
          <w:bdr w:val="none" w:sz="0" w:space="0" w:color="auto" w:frame="1"/>
          <w:lang w:val="es-ES"/>
        </w:rPr>
        <w:t>personas jurídicas y otros entes</w:t>
      </w:r>
      <w:r w:rsidRPr="00780007">
        <w:rPr>
          <w:rFonts w:ascii="Times New Roman" w:eastAsia="Times New Roman" w:hAnsi="Times New Roman" w:cs="Times New Roman"/>
          <w:color w:val="000000"/>
          <w:sz w:val="20"/>
          <w:szCs w:val="20"/>
          <w:bdr w:val="none" w:sz="0" w:space="0" w:color="auto" w:frame="1"/>
          <w:lang w:val="es-ES"/>
        </w:rPr>
        <w:t>, la información debe comprender país de residencia fiscal, número de identificación fiscal en ese país y domicilio.</w:t>
      </w:r>
      <w:r w:rsidRPr="00780007">
        <w:rPr>
          <w:rFonts w:ascii="Times New Roman" w:eastAsia="Times New Roman" w:hAnsi="Times New Roman" w:cs="Times New Roman"/>
          <w:color w:val="000000"/>
          <w:sz w:val="20"/>
          <w:szCs w:val="20"/>
          <w:bdr w:val="none" w:sz="0" w:space="0" w:color="auto" w:frame="1"/>
          <w:lang w:val="es-ES"/>
        </w:rPr>
        <w:br/>
      </w:r>
      <w:r w:rsidRPr="00780007">
        <w:rPr>
          <w:rFonts w:ascii="Times New Roman" w:eastAsia="Times New Roman" w:hAnsi="Times New Roman" w:cs="Times New Roman"/>
          <w:color w:val="000000"/>
          <w:sz w:val="20"/>
          <w:szCs w:val="20"/>
          <w:bdr w:val="none" w:sz="0" w:space="0" w:color="auto" w:frame="1"/>
          <w:lang w:val="es-ES"/>
        </w:rPr>
        <w:br/>
      </w:r>
      <w:r w:rsidR="00FD05AD">
        <w:rPr>
          <w:rFonts w:ascii="Times New Roman" w:eastAsia="Times New Roman" w:hAnsi="Times New Roman" w:cs="Times New Roman"/>
          <w:color w:val="000000"/>
          <w:sz w:val="20"/>
          <w:szCs w:val="20"/>
          <w:bdr w:val="none" w:sz="0" w:space="0" w:color="auto" w:frame="1"/>
          <w:lang w:val="es-ES"/>
        </w:rPr>
        <w:t>En este contexto, l</w:t>
      </w:r>
      <w:r w:rsidRPr="00780007">
        <w:rPr>
          <w:rFonts w:ascii="Times New Roman" w:eastAsia="Times New Roman" w:hAnsi="Times New Roman" w:cs="Times New Roman"/>
          <w:color w:val="000000"/>
          <w:sz w:val="20"/>
          <w:szCs w:val="20"/>
          <w:bdr w:val="none" w:sz="0" w:space="0" w:color="auto" w:frame="1"/>
          <w:lang w:val="es-ES"/>
        </w:rPr>
        <w:t>os agentes registrados ante la CNV deben cumplir con las disposiciones respecto del secreto a que se refiere el art. 53 de la Ley Nº 26.831 y el art. 5° de la Ley de Protección de Datos Personales.</w:t>
      </w:r>
    </w:p>
    <w:p w14:paraId="2350735A" w14:textId="77777777" w:rsidR="003D5586" w:rsidRPr="00780007" w:rsidRDefault="003D558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5D34FA86" w14:textId="1074CFCF" w:rsidR="00523C46" w:rsidRPr="00780007" w:rsidRDefault="00523C4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b/>
          <w:bCs/>
          <w:color w:val="000000"/>
          <w:sz w:val="20"/>
          <w:szCs w:val="20"/>
          <w:bdr w:val="none" w:sz="0" w:space="0" w:color="auto" w:frame="1"/>
          <w:lang w:val="es-ES"/>
        </w:rPr>
        <w:t>Quedan excluidas</w:t>
      </w:r>
      <w:r w:rsidR="003D5586" w:rsidRPr="00780007">
        <w:rPr>
          <w:rFonts w:ascii="Times New Roman" w:eastAsia="Times New Roman" w:hAnsi="Times New Roman" w:cs="Times New Roman"/>
          <w:b/>
          <w:bCs/>
          <w:color w:val="000000"/>
          <w:sz w:val="20"/>
          <w:szCs w:val="20"/>
          <w:bdr w:val="none" w:sz="0" w:space="0" w:color="auto" w:frame="1"/>
          <w:lang w:val="es-ES"/>
        </w:rPr>
        <w:t xml:space="preserve"> del régimen</w:t>
      </w:r>
      <w:r w:rsidRPr="00780007">
        <w:rPr>
          <w:rFonts w:ascii="Times New Roman" w:eastAsia="Times New Roman" w:hAnsi="Times New Roman" w:cs="Times New Roman"/>
          <w:color w:val="000000"/>
          <w:sz w:val="20"/>
          <w:szCs w:val="20"/>
          <w:bdr w:val="none" w:sz="0" w:space="0" w:color="auto" w:frame="1"/>
          <w:lang w:val="es-ES"/>
        </w:rPr>
        <w:t xml:space="preserve"> las instituciones financieras no obligadas descriptas en el Apartado B del artículo VIII del CRS (mencionada en el Anexo II de la Resolución General N° 4056-E/2017) que debe</w:t>
      </w:r>
      <w:r w:rsidR="007C66F3" w:rsidRPr="00780007">
        <w:rPr>
          <w:rFonts w:ascii="Times New Roman" w:eastAsia="Times New Roman" w:hAnsi="Times New Roman" w:cs="Times New Roman"/>
          <w:color w:val="000000"/>
          <w:sz w:val="20"/>
          <w:szCs w:val="20"/>
          <w:bdr w:val="none" w:sz="0" w:space="0" w:color="auto" w:frame="1"/>
          <w:lang w:val="es-ES"/>
        </w:rPr>
        <w:t>n</w:t>
      </w:r>
      <w:r w:rsidRPr="00780007">
        <w:rPr>
          <w:rFonts w:ascii="Times New Roman" w:eastAsia="Times New Roman" w:hAnsi="Times New Roman" w:cs="Times New Roman"/>
          <w:color w:val="000000"/>
          <w:sz w:val="20"/>
          <w:szCs w:val="20"/>
          <w:bdr w:val="none" w:sz="0" w:space="0" w:color="auto" w:frame="1"/>
          <w:lang w:val="es-ES"/>
        </w:rPr>
        <w:t xml:space="preserve"> conservar la documentación que acredite que son sujetos no obligados.</w:t>
      </w:r>
    </w:p>
    <w:p w14:paraId="4C500146" w14:textId="77777777" w:rsidR="002C7765" w:rsidRPr="00780007" w:rsidRDefault="002C7765"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547BCF6E" w14:textId="12748B6B" w:rsidR="00523C46" w:rsidRPr="00780007" w:rsidRDefault="00523C4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color w:val="000000"/>
          <w:sz w:val="20"/>
          <w:szCs w:val="20"/>
          <w:bdr w:val="none" w:sz="0" w:space="0" w:color="auto" w:frame="1"/>
          <w:lang w:val="es-ES"/>
        </w:rPr>
        <w:t>Las instituciones financieras obligadas debe</w:t>
      </w:r>
      <w:r w:rsidR="007C66F3" w:rsidRPr="00780007">
        <w:rPr>
          <w:rFonts w:ascii="Times New Roman" w:eastAsia="Times New Roman" w:hAnsi="Times New Roman" w:cs="Times New Roman"/>
          <w:color w:val="000000"/>
          <w:sz w:val="20"/>
          <w:szCs w:val="20"/>
          <w:bdr w:val="none" w:sz="0" w:space="0" w:color="auto" w:frame="1"/>
          <w:lang w:val="es-ES"/>
        </w:rPr>
        <w:t>n</w:t>
      </w:r>
      <w:r w:rsidRPr="00780007">
        <w:rPr>
          <w:rFonts w:ascii="Times New Roman" w:eastAsia="Times New Roman" w:hAnsi="Times New Roman" w:cs="Times New Roman"/>
          <w:color w:val="000000"/>
          <w:sz w:val="20"/>
          <w:szCs w:val="20"/>
          <w:bdr w:val="none" w:sz="0" w:space="0" w:color="auto" w:frame="1"/>
          <w:lang w:val="es-ES"/>
        </w:rPr>
        <w:t xml:space="preserve"> </w:t>
      </w:r>
      <w:r w:rsidRPr="00FD05AD">
        <w:rPr>
          <w:rFonts w:ascii="Times New Roman" w:eastAsia="Times New Roman" w:hAnsi="Times New Roman" w:cs="Times New Roman"/>
          <w:b/>
          <w:bCs/>
          <w:color w:val="000000"/>
          <w:sz w:val="20"/>
          <w:szCs w:val="20"/>
          <w:bdr w:val="none" w:sz="0" w:space="0" w:color="auto" w:frame="1"/>
          <w:lang w:val="es-ES"/>
        </w:rPr>
        <w:t>brindar por cada año calendario</w:t>
      </w:r>
      <w:r w:rsidRPr="00780007">
        <w:rPr>
          <w:rFonts w:ascii="Times New Roman" w:eastAsia="Times New Roman" w:hAnsi="Times New Roman" w:cs="Times New Roman"/>
          <w:color w:val="000000"/>
          <w:sz w:val="20"/>
          <w:szCs w:val="20"/>
          <w:bdr w:val="none" w:sz="0" w:space="0" w:color="auto" w:frame="1"/>
          <w:lang w:val="es-ES"/>
        </w:rPr>
        <w:t xml:space="preserve"> la información referida a las cuentas indicadas en el Apartado D del Artículo VIII del CRS (Anexo I - RG 4056-E/2017) existentes en cualquier momento del respectivo año, excluyéndose las descriptas en el punto 17 del Apartado C del Artículo VIII del CRS que se mencionan en el Anexo III de la Resolución General N° 4056-E/2017.</w:t>
      </w:r>
    </w:p>
    <w:p w14:paraId="16E20ACE" w14:textId="77777777" w:rsidR="003D5586" w:rsidRPr="00780007" w:rsidRDefault="003D558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2CD18641" w14:textId="08C7668A" w:rsidR="00523C46" w:rsidRPr="00780007" w:rsidRDefault="00523C46" w:rsidP="00780007">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r w:rsidRPr="00780007">
        <w:rPr>
          <w:rFonts w:ascii="Times New Roman" w:eastAsia="Times New Roman" w:hAnsi="Times New Roman" w:cs="Times New Roman"/>
          <w:color w:val="000000"/>
          <w:sz w:val="20"/>
          <w:szCs w:val="20"/>
          <w:bdr w:val="none" w:sz="0" w:space="0" w:color="auto" w:frame="1"/>
          <w:lang w:val="es-ES"/>
        </w:rPr>
        <w:t>A los fines de la identificación de las cuentas alcanzadas por el régimen y con relación a la definición del punto 3 del Apartado D del Artículo VIII del CRS, se consider</w:t>
      </w:r>
      <w:r w:rsidR="007C66F3" w:rsidRPr="00780007">
        <w:rPr>
          <w:rFonts w:ascii="Times New Roman" w:eastAsia="Times New Roman" w:hAnsi="Times New Roman" w:cs="Times New Roman"/>
          <w:color w:val="000000"/>
          <w:sz w:val="20"/>
          <w:szCs w:val="20"/>
          <w:bdr w:val="none" w:sz="0" w:space="0" w:color="auto" w:frame="1"/>
          <w:lang w:val="es-ES"/>
        </w:rPr>
        <w:t xml:space="preserve">a </w:t>
      </w:r>
      <w:r w:rsidRPr="00780007">
        <w:rPr>
          <w:rFonts w:ascii="Times New Roman" w:eastAsia="Times New Roman" w:hAnsi="Times New Roman" w:cs="Times New Roman"/>
          <w:color w:val="000000"/>
          <w:sz w:val="20"/>
          <w:szCs w:val="20"/>
          <w:bdr w:val="none" w:sz="0" w:space="0" w:color="auto" w:frame="1"/>
          <w:lang w:val="es-ES"/>
        </w:rPr>
        <w:t>que es “</w:t>
      </w:r>
      <w:r w:rsidRPr="00780007">
        <w:rPr>
          <w:rFonts w:ascii="Times New Roman" w:eastAsia="Times New Roman" w:hAnsi="Times New Roman" w:cs="Times New Roman"/>
          <w:b/>
          <w:bCs/>
          <w:color w:val="000000"/>
          <w:sz w:val="20"/>
          <w:szCs w:val="20"/>
          <w:bdr w:val="none" w:sz="0" w:space="0" w:color="auto" w:frame="1"/>
          <w:lang w:val="es-ES"/>
        </w:rPr>
        <w:t>persona de una jurisdicción declarable</w:t>
      </w:r>
      <w:r w:rsidRPr="00780007">
        <w:rPr>
          <w:rFonts w:ascii="Times New Roman" w:eastAsia="Times New Roman" w:hAnsi="Times New Roman" w:cs="Times New Roman"/>
          <w:color w:val="000000"/>
          <w:sz w:val="20"/>
          <w:szCs w:val="20"/>
          <w:bdr w:val="none" w:sz="0" w:space="0" w:color="auto" w:frame="1"/>
          <w:lang w:val="es-ES"/>
        </w:rPr>
        <w:t>” toda aquella “persona declarable” que resulte no residente conforme a las tareas de debida diligencia que apliquen las respectivas instituciones financieras.</w:t>
      </w:r>
    </w:p>
    <w:p w14:paraId="68EF0DC0" w14:textId="77777777" w:rsidR="00951321" w:rsidRPr="002C7765" w:rsidRDefault="00951321" w:rsidP="002C7765">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590F0F8D" w14:textId="77777777" w:rsidR="00523C46" w:rsidRPr="002C7765" w:rsidRDefault="00523C46" w:rsidP="00537530">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6F2005DD" w14:textId="3A8DE932" w:rsidR="005579DC" w:rsidRDefault="005579DC" w:rsidP="005579DC">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2A02C70C" w14:textId="77777777" w:rsidR="005F1929" w:rsidRDefault="005F1929" w:rsidP="00A77FC9">
      <w:pPr>
        <w:spacing w:after="0" w:line="240" w:lineRule="auto"/>
        <w:jc w:val="both"/>
        <w:textAlignment w:val="baseline"/>
        <w:rPr>
          <w:rFonts w:ascii="Times New Roman" w:eastAsia="Times New Roman" w:hAnsi="Times New Roman" w:cs="Times New Roman"/>
          <w:color w:val="000000"/>
          <w:sz w:val="20"/>
          <w:szCs w:val="20"/>
          <w:bdr w:val="none" w:sz="0" w:space="0" w:color="auto" w:frame="1"/>
          <w:lang w:val="es-ES"/>
        </w:rPr>
      </w:pPr>
    </w:p>
    <w:p w14:paraId="67497F2F" w14:textId="663AFB6A" w:rsidR="0092362F" w:rsidRDefault="0092362F" w:rsidP="00A77FC9">
      <w:pPr>
        <w:jc w:val="both"/>
        <w:rPr>
          <w:rFonts w:ascii="Times New Roman" w:hAnsi="Times New Roman" w:cs="Times New Roman"/>
          <w:sz w:val="20"/>
          <w:szCs w:val="20"/>
          <w:lang w:val="es-ES"/>
        </w:rPr>
      </w:pPr>
    </w:p>
    <w:p w14:paraId="7FCC07E4" w14:textId="5157B5BB" w:rsidR="00941CD6" w:rsidRDefault="00941CD6" w:rsidP="00A77FC9">
      <w:pPr>
        <w:jc w:val="both"/>
        <w:rPr>
          <w:rFonts w:ascii="Times New Roman" w:hAnsi="Times New Roman" w:cs="Times New Roman"/>
          <w:sz w:val="20"/>
          <w:szCs w:val="20"/>
          <w:lang w:val="es-ES"/>
        </w:rPr>
      </w:pPr>
    </w:p>
    <w:p w14:paraId="2CE3A32C" w14:textId="33F79977" w:rsidR="00941CD6" w:rsidRDefault="00941CD6" w:rsidP="00A77FC9">
      <w:pPr>
        <w:jc w:val="both"/>
        <w:rPr>
          <w:rFonts w:ascii="Times New Roman" w:hAnsi="Times New Roman" w:cs="Times New Roman"/>
          <w:sz w:val="20"/>
          <w:szCs w:val="20"/>
          <w:lang w:val="es-ES"/>
        </w:rPr>
      </w:pPr>
    </w:p>
    <w:p w14:paraId="3CC732D6" w14:textId="40F615F5" w:rsidR="00941CD6" w:rsidRDefault="00941CD6" w:rsidP="00A77FC9">
      <w:pPr>
        <w:jc w:val="both"/>
        <w:rPr>
          <w:rFonts w:ascii="Times New Roman" w:hAnsi="Times New Roman" w:cs="Times New Roman"/>
          <w:sz w:val="20"/>
          <w:szCs w:val="20"/>
          <w:lang w:val="es-ES"/>
        </w:rPr>
      </w:pPr>
    </w:p>
    <w:p w14:paraId="3BB52628" w14:textId="2F859151" w:rsidR="00941CD6" w:rsidRDefault="00941CD6" w:rsidP="00A77FC9">
      <w:pPr>
        <w:jc w:val="both"/>
        <w:rPr>
          <w:rFonts w:ascii="Times New Roman" w:hAnsi="Times New Roman" w:cs="Times New Roman"/>
          <w:sz w:val="20"/>
          <w:szCs w:val="20"/>
          <w:lang w:val="es-ES"/>
        </w:rPr>
      </w:pPr>
    </w:p>
    <w:p w14:paraId="3224A086" w14:textId="422F1530" w:rsidR="00941CD6" w:rsidRDefault="00941CD6" w:rsidP="00A77FC9">
      <w:pPr>
        <w:jc w:val="both"/>
        <w:rPr>
          <w:rFonts w:ascii="Times New Roman" w:hAnsi="Times New Roman" w:cs="Times New Roman"/>
          <w:sz w:val="20"/>
          <w:szCs w:val="20"/>
          <w:lang w:val="es-ES"/>
        </w:rPr>
      </w:pPr>
    </w:p>
    <w:p w14:paraId="234CAA7B" w14:textId="0C3648C5" w:rsidR="00941CD6" w:rsidRDefault="00941CD6" w:rsidP="00A77FC9">
      <w:pPr>
        <w:jc w:val="both"/>
        <w:rPr>
          <w:rFonts w:ascii="Times New Roman" w:hAnsi="Times New Roman" w:cs="Times New Roman"/>
          <w:sz w:val="20"/>
          <w:szCs w:val="20"/>
          <w:lang w:val="es-ES"/>
        </w:rPr>
      </w:pPr>
    </w:p>
    <w:p w14:paraId="3D974E3F" w14:textId="0D59F363" w:rsidR="00941CD6" w:rsidRPr="00941CD6" w:rsidRDefault="00941CD6" w:rsidP="00A77FC9">
      <w:pPr>
        <w:jc w:val="both"/>
        <w:rPr>
          <w:rFonts w:ascii="Times New Roman" w:hAnsi="Times New Roman" w:cs="Times New Roman"/>
          <w:sz w:val="20"/>
          <w:szCs w:val="20"/>
          <w:lang w:val="es-AR"/>
        </w:rPr>
      </w:pPr>
    </w:p>
    <w:sectPr w:rsidR="00941CD6" w:rsidRPr="00941C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3040E"/>
    <w:multiLevelType w:val="multilevel"/>
    <w:tmpl w:val="684C952A"/>
    <w:lvl w:ilvl="0">
      <w:start w:val="1"/>
      <w:numFmt w:val="bullet"/>
      <w:lvlText w:val=""/>
      <w:lvlJc w:val="left"/>
      <w:pPr>
        <w:tabs>
          <w:tab w:val="num" w:pos="502"/>
        </w:tabs>
        <w:ind w:left="502" w:hanging="360"/>
      </w:pPr>
      <w:rPr>
        <w:rFonts w:ascii="Wingdings" w:hAnsi="Wingdings" w:hint="default"/>
        <w:sz w:val="20"/>
      </w:rPr>
    </w:lvl>
    <w:lvl w:ilvl="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24FB794E"/>
    <w:multiLevelType w:val="multilevel"/>
    <w:tmpl w:val="F07679F4"/>
    <w:lvl w:ilvl="0">
      <w:start w:val="1"/>
      <w:numFmt w:val="bullet"/>
      <w:lvlText w:val=""/>
      <w:lvlJc w:val="left"/>
      <w:pPr>
        <w:tabs>
          <w:tab w:val="num" w:pos="720"/>
        </w:tabs>
        <w:ind w:left="720" w:hanging="360"/>
      </w:pPr>
      <w:rPr>
        <w:rFonts w:ascii="Wingdings 3" w:hAnsi="Wingdings 3"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F481B"/>
    <w:multiLevelType w:val="multilevel"/>
    <w:tmpl w:val="D4D6B30A"/>
    <w:lvl w:ilvl="0">
      <w:start w:val="1"/>
      <w:numFmt w:val="bullet"/>
      <w:lvlText w:val=""/>
      <w:lvlJc w:val="left"/>
      <w:pPr>
        <w:tabs>
          <w:tab w:val="num" w:pos="720"/>
        </w:tabs>
        <w:ind w:left="720" w:hanging="360"/>
      </w:pPr>
      <w:rPr>
        <w:rFonts w:ascii="Wingdings 3" w:hAnsi="Wingdings 3"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372D3"/>
    <w:multiLevelType w:val="hybridMultilevel"/>
    <w:tmpl w:val="FA52E3F0"/>
    <w:lvl w:ilvl="0" w:tplc="13DACE62">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5F677F"/>
    <w:multiLevelType w:val="multilevel"/>
    <w:tmpl w:val="A600F97E"/>
    <w:lvl w:ilvl="0">
      <w:start w:val="1"/>
      <w:numFmt w:val="bullet"/>
      <w:lvlText w:val=""/>
      <w:lvlJc w:val="left"/>
      <w:pPr>
        <w:tabs>
          <w:tab w:val="num" w:pos="720"/>
        </w:tabs>
        <w:ind w:left="720" w:hanging="360"/>
      </w:pPr>
      <w:rPr>
        <w:rFonts w:ascii="Wingdings 3" w:hAnsi="Wingdings 3" w:hint="default"/>
        <w:sz w:val="20"/>
      </w:rPr>
    </w:lvl>
    <w:lvl w:ilvl="1">
      <w:start w:val="1"/>
      <w:numFmt w:val="lowerRoman"/>
      <w:lvlText w:val="%2."/>
      <w:lvlJc w:val="righ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943F4"/>
    <w:multiLevelType w:val="multilevel"/>
    <w:tmpl w:val="6FD01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FC9"/>
    <w:rsid w:val="00125B5C"/>
    <w:rsid w:val="0015534B"/>
    <w:rsid w:val="00197EC4"/>
    <w:rsid w:val="001C2A36"/>
    <w:rsid w:val="002C7765"/>
    <w:rsid w:val="002F7A7B"/>
    <w:rsid w:val="003150A5"/>
    <w:rsid w:val="003D5586"/>
    <w:rsid w:val="004C0BEF"/>
    <w:rsid w:val="00523C46"/>
    <w:rsid w:val="00537530"/>
    <w:rsid w:val="005579DC"/>
    <w:rsid w:val="005F1929"/>
    <w:rsid w:val="005F4D84"/>
    <w:rsid w:val="00780007"/>
    <w:rsid w:val="007C66F3"/>
    <w:rsid w:val="0092362F"/>
    <w:rsid w:val="00941CD6"/>
    <w:rsid w:val="00951321"/>
    <w:rsid w:val="009B005D"/>
    <w:rsid w:val="00A54414"/>
    <w:rsid w:val="00A77FC9"/>
    <w:rsid w:val="00A93E14"/>
    <w:rsid w:val="00B30825"/>
    <w:rsid w:val="00DC419A"/>
    <w:rsid w:val="00E6139F"/>
    <w:rsid w:val="00FD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9F84"/>
  <w15:chartTrackingRefBased/>
  <w15:docId w15:val="{C74E9BFF-1F17-4677-9F40-93105787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77F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7F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7F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FC9"/>
    <w:rPr>
      <w:b/>
      <w:bCs/>
    </w:rPr>
  </w:style>
  <w:style w:type="paragraph" w:customStyle="1" w:styleId="pb20">
    <w:name w:val="pb20"/>
    <w:basedOn w:val="Normal"/>
    <w:rsid w:val="00A77F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7FC9"/>
    <w:rPr>
      <w:color w:val="0000FF"/>
      <w:u w:val="single"/>
    </w:rPr>
  </w:style>
  <w:style w:type="paragraph" w:styleId="ListParagraph">
    <w:name w:val="List Paragraph"/>
    <w:basedOn w:val="Normal"/>
    <w:uiPriority w:val="34"/>
    <w:qFormat/>
    <w:rsid w:val="00780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596071">
      <w:bodyDiv w:val="1"/>
      <w:marLeft w:val="0"/>
      <w:marRight w:val="0"/>
      <w:marTop w:val="0"/>
      <w:marBottom w:val="0"/>
      <w:divBdr>
        <w:top w:val="none" w:sz="0" w:space="0" w:color="auto"/>
        <w:left w:val="none" w:sz="0" w:space="0" w:color="auto"/>
        <w:bottom w:val="none" w:sz="0" w:space="0" w:color="auto"/>
        <w:right w:val="none" w:sz="0" w:space="0" w:color="auto"/>
      </w:divBdr>
    </w:div>
    <w:div w:id="213243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CBE4-9FD6-48B7-85B3-9CF28D4C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949</Words>
  <Characters>5221</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BARBONETTI EMILIANO MISAEL</cp:lastModifiedBy>
  <cp:revision>2</cp:revision>
  <dcterms:created xsi:type="dcterms:W3CDTF">2020-10-20T18:36:00Z</dcterms:created>
  <dcterms:modified xsi:type="dcterms:W3CDTF">2020-10-20T18:36:00Z</dcterms:modified>
</cp:coreProperties>
</file>