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2"/>
        </w:rPr>
        <w:t>教育智研：面向教育学实证研究的一体化 AI Scientist 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产品技术文档：AutoSci 参考架构版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版本：V1.1｜适用阶段：比赛原型设计、技术方案申报、MVP 开发</w:t>
      </w:r>
    </w:p>
    <w:p/>
    <w:p>
      <w:r>
        <w:drawing>
          <wp:inline xmlns:a="http://schemas.openxmlformats.org/drawingml/2006/main" xmlns:pic="http://schemas.openxmlformats.org/drawingml/2006/picture">
            <wp:extent cx="6192000" cy="4073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育智研_AutoSci参考版总体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8"/>
        </w:rPr>
        <w:t>图 1  AutoSci 参考版总体技术架构</w:t>
      </w:r>
    </w:p>
    <w:p>
      <w:pPr>
        <w:pStyle w:val="Heading1"/>
      </w:pPr>
      <w:r>
        <w:t>文档修订说明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2026-06-30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产品技术文档初版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定义基础技术架构、Agent、RAG、数据分析和部署方案</w:t>
            </w:r>
          </w:p>
        </w:tc>
      </w:tr>
      <w:tr>
        <w:tc>
          <w:tcPr>
            <w:tcW w:type="dxa" w:w="113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V1.1</w:t>
            </w:r>
          </w:p>
        </w:tc>
        <w:tc>
          <w:tcPr>
            <w:tcW w:type="dxa" w:w="147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2026-06-30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引入 AutoSci 参考架构</w:t>
            </w:r>
          </w:p>
        </w:tc>
        <w:tc>
          <w:tcPr>
            <w:tcW w:type="dxa" w:w="3969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 SciMem/SciFlow/SciDAG/SciEvolve 的教育学改造方案</w:t>
            </w:r>
          </w:p>
        </w:tc>
      </w:tr>
    </w:tbl>
    <w:p/>
    <w:p>
      <w:pPr>
        <w:pStyle w:val="Heading1"/>
      </w:pPr>
      <w:r>
        <w:t>目录</w:t>
      </w:r>
    </w:p>
    <w:p>
      <w:pPr>
        <w:ind w:left="283"/>
      </w:pPr>
      <w:r>
        <w:t>1. 参考依据与改造原则</w:t>
      </w:r>
    </w:p>
    <w:p>
      <w:pPr>
        <w:ind w:left="283"/>
      </w:pPr>
      <w:r>
        <w:t>2. AutoSci 架构拆解与可借鉴点</w:t>
      </w:r>
    </w:p>
    <w:p>
      <w:pPr>
        <w:ind w:left="283"/>
      </w:pPr>
      <w:r>
        <w:t>3. 教育智研目标架构</w:t>
      </w:r>
    </w:p>
    <w:p>
      <w:pPr>
        <w:ind w:left="283"/>
      </w:pPr>
      <w:r>
        <w:t>4. EduSciMem：教育科研记忆层实现</w:t>
      </w:r>
    </w:p>
    <w:p>
      <w:pPr>
        <w:ind w:left="283"/>
      </w:pPr>
      <w:r>
        <w:t>5. EduSciFlow：教育科研生命周期编排</w:t>
      </w:r>
    </w:p>
    <w:p>
      <w:pPr>
        <w:ind w:left="283"/>
      </w:pPr>
      <w:r>
        <w:t>6. EduSciDAG：多智能体 DAG 执行引擎</w:t>
      </w:r>
    </w:p>
    <w:p>
      <w:pPr>
        <w:ind w:left="283"/>
      </w:pPr>
      <w:r>
        <w:t>7. EduSciEvolve：反馈演化机制</w:t>
      </w:r>
    </w:p>
    <w:p>
      <w:pPr>
        <w:ind w:left="283"/>
      </w:pPr>
      <w:r>
        <w:t>8. 核心 Agent 与工具链设计</w:t>
      </w:r>
    </w:p>
    <w:p>
      <w:pPr>
        <w:ind w:left="283"/>
      </w:pPr>
      <w:r>
        <w:t>9. RAG、证据校验与引用追踪</w:t>
      </w:r>
    </w:p>
    <w:p>
      <w:pPr>
        <w:ind w:left="283"/>
      </w:pPr>
      <w:r>
        <w:t>10. 数据分析引擎与问卷/实验路径</w:t>
      </w:r>
    </w:p>
    <w:p>
      <w:pPr>
        <w:ind w:left="283"/>
      </w:pPr>
      <w:r>
        <w:t>11. 系统 API 与数据库设计</w:t>
      </w:r>
    </w:p>
    <w:p>
      <w:pPr>
        <w:ind w:left="283"/>
      </w:pPr>
      <w:r>
        <w:t>12. 部署拓扑、安全合规与运维</w:t>
      </w:r>
    </w:p>
    <w:p>
      <w:pPr>
        <w:ind w:left="283"/>
      </w:pPr>
      <w:r>
        <w:t>13. MVP 开发计划与验收标准</w:t>
      </w:r>
    </w:p>
    <w:p>
      <w:pPr>
        <w:ind w:left="283"/>
      </w:pPr>
      <w:r>
        <w:t>14. 附录：核心 Schema 与任务编排伪代码</w:t>
      </w:r>
    </w:p>
    <w:p>
      <w:pPr>
        <w:pStyle w:val="Heading1"/>
      </w:pPr>
      <w:r>
        <w:t>1. 参考依据与改造原则</w:t>
      </w:r>
    </w:p>
    <w:p>
      <w:r>
        <w:t>本版本在原有“教育智研”技术方案基础上，引入 AutoSci 的记忆中心型智能体科研系统思想。AutoSci 的公开资料显示，其核心定位是覆盖论文摄入、研究想法、实验、写作、审稿回复等科研全生命周期，并通过结构化持久记忆在多个项目之间积累知识。教育智研不直接照搬其 Claude Code 技术栈，而是借鉴其架构思想，改造为符合比赛要求的 Qwen/百炼、多智能体、教育学实证研究场景。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约束来源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关键要求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教育智研改造策略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赛题要求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基于国产开源大模型 Qwen 系列；通过阿里云百炼平台调用模型 API；可采用多智能体系统或超级智能体 Skills。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 LLM 服务统一封装为 Qwen Provider；模型调用、Agent 编排、工具调用和日志凭证均可导出作为参赛证明。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AutoSci README</w:t>
            </w:r>
          </w:p>
        </w:tc>
        <w:tc>
          <w:tcPr>
            <w:tcW w:type="dxa" w:w="408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 wiki-centric / memory-centric 的科研环境，覆盖从知识库构建到实验、论文、审稿的完整流程。</w:t>
            </w:r>
          </w:p>
        </w:tc>
        <w:tc>
          <w:tcPr>
            <w:tcW w:type="dxa" w:w="408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 EduSciMem，将教育文献、变量、量表、数据集、项目历史和证据图谱结构化存储。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AutoSci 论文摘要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提出 SciMem、SciFlow、SciDAG、SciEvolve 四个模块。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映射为 EduSciMem、EduSciFlow、EduSciDAG、EduSciEvolve，并加入教育学研究可行性门控。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教育学应用场景</w:t>
            </w:r>
          </w:p>
        </w:tc>
        <w:tc>
          <w:tcPr>
            <w:tcW w:type="dxa" w:w="408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教育研究常依赖问卷、访谈、课堂观察、教育统计和政策文本。</w:t>
            </w:r>
          </w:p>
        </w:tc>
        <w:tc>
          <w:tcPr>
            <w:tcW w:type="dxa" w:w="408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在已有数据不足时，不伪造结果，而是自动生成问卷/小实验方案，并等待用户回传真实数据。</w:t>
            </w:r>
          </w:p>
        </w:tc>
      </w:tr>
    </w:tbl>
    <w:p/>
    <w:p>
      <w:r>
        <w:t>改造原则如下：</w:t>
      </w:r>
    </w:p>
    <w:p>
      <w:pPr>
        <w:pStyle w:val="ListBullet"/>
      </w:pPr>
      <w:r>
        <w:t>以“可验证假设生成”为中心，而不是以“自动写论文”为中心。</w:t>
      </w:r>
    </w:p>
    <w:p>
      <w:pPr>
        <w:pStyle w:val="ListBullet"/>
      </w:pPr>
      <w:r>
        <w:t>以证据图谱和项目记忆为底座，避免每次研究从零开始。</w:t>
      </w:r>
    </w:p>
    <w:p>
      <w:pPr>
        <w:pStyle w:val="ListBullet"/>
      </w:pPr>
      <w:r>
        <w:t>将复杂科研流程拆为可追踪的 DAG 节点，每个节点保留输入、输出、证据和审查结果。</w:t>
      </w:r>
    </w:p>
    <w:p>
      <w:pPr>
        <w:pStyle w:val="ListBullet"/>
      </w:pPr>
      <w:r>
        <w:t>对低证据问题设置门控，不允许系统生成确定性结论；只输出探索性假设和后续研究路径。</w:t>
      </w:r>
    </w:p>
    <w:p>
      <w:pPr>
        <w:pStyle w:val="ListBullet"/>
      </w:pPr>
      <w:r>
        <w:t>保留人在回路节点，尤其是数据采集、问卷发放、伦理确认、结果解释确认。</w:t>
      </w:r>
    </w:p>
    <w:p>
      <w:pPr>
        <w:pStyle w:val="Heading1"/>
      </w:pPr>
      <w:r>
        <w:t>2. AutoSci 架构拆解与可借鉴点</w:t>
      </w:r>
    </w:p>
    <w:p>
      <w:r>
        <w:t>AutoSci 可被抽象为“持久科研记忆 + 生命周期流程 + DAG 化复杂技能 + 反馈演化”的组合。教育智研应重点学习其架构分层，而不是复制命令行形态。</w:t>
      </w:r>
    </w:p>
    <w:p>
      <w:r>
        <w:drawing>
          <wp:inline xmlns:a="http://schemas.openxmlformats.org/drawingml/2006/main" xmlns:pic="http://schemas.openxmlformats.org/drawingml/2006/picture">
            <wp:extent cx="6192000" cy="3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育智研_AutoSci模块映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8"/>
        </w:rPr>
        <w:t>图 2  AutoSci 四模块到教育智研四模块的映射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AutoSci 模块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原始含义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教育智研对应模块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落地实现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SciMem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Schema-governed research memory，区分长期知识记忆与项目级活跃记忆。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EduSciMem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+ 向量库 + 对象存储 + 证据图谱；存储文献、变量、量表、数据集、假设、实验、输出版本。</w:t>
            </w:r>
          </w:p>
        </w:tc>
      </w:tr>
      <w:tr>
        <w:tc>
          <w:tcPr>
            <w:tcW w:type="dxa" w:w="147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SciFlow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五阶段科研生命周期，通过 harness 控制状态、上下文、验证、反馈和编排。</w:t>
            </w:r>
          </w:p>
        </w:tc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EduSciFlow</w:t>
            </w:r>
          </w:p>
        </w:tc>
        <w:tc>
          <w:tcPr>
            <w:tcW w:type="dxa" w:w="357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教育研究生命周期状态机：Idea 解析、证据检索、门控判断、研究设计、数据分析、论文计划、复审迭代。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SciDAG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DAG-shaped multi-agent operators 与可复用阶段模板。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EduSciDAG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把检索、抽取、评估、假设生成、问卷生成、统计分析、写作、复审拆为可并行和可回滚节点。</w:t>
            </w:r>
          </w:p>
        </w:tc>
      </w:tr>
      <w:tr>
        <w:tc>
          <w:tcPr>
            <w:tcW w:type="dxa" w:w="147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SciEvolve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把反馈信号转为对记忆组织、流程技能和模板的版本化更新。</w:t>
            </w:r>
          </w:p>
        </w:tc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EduSciEvolve</w:t>
            </w:r>
          </w:p>
        </w:tc>
        <w:tc>
          <w:tcPr>
            <w:tcW w:type="dxa" w:w="357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沉淀用户修改、评分、错误案例、问卷回收质量，自动更新提示词模板、阈值、案例库和领域词表。</w:t>
            </w:r>
          </w:p>
        </w:tc>
      </w:tr>
    </w:tbl>
    <w:p/>
    <w:p>
      <w:pPr>
        <w:pStyle w:val="Heading2"/>
      </w:pPr>
      <w:r>
        <w:t>2.1 不建议照搬的部分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不建议照搬项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建议替代方案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Code slash commands 形态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比赛要求强调 Qwen/百炼，且目标用户是教育研究者，不适合命令行工作流。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 Web 工作台 + 后端任务编排；内部可保留命令式 Skill，但用户端使用按钮和项目流程。</w:t>
            </w:r>
          </w:p>
        </w:tc>
      </w:tr>
      <w:tr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端到端自动实验执行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教育学研究大量依赖人类被试和问卷伦理，不能直接自动化执行。</w:t>
            </w:r>
          </w:p>
        </w:tc>
        <w:tc>
          <w:tcPr>
            <w:tcW w:type="dxa" w:w="3969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保留“人确认”和“用户上传数据”节点；系统负责方案生成、数据清洗和统计分析。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通用科研领域 memory schema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教育学变量、量表、政策文本、课堂观察有领域结构。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定义教育学专用实体：变量、量表、样本、学校层级、干预方式、学习结果、伦理风险。</w:t>
            </w:r>
          </w:p>
        </w:tc>
      </w:tr>
      <w:tr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仅面向论文生成</w:t>
            </w:r>
          </w:p>
        </w:tc>
        <w:tc>
          <w:tcPr>
            <w:tcW w:type="dxa" w:w="351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本赛题核心是可验证假设生成与研究计划。</w:t>
            </w:r>
          </w:p>
        </w:tc>
        <w:tc>
          <w:tcPr>
            <w:tcW w:type="dxa" w:w="3969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输出《教育学科学假设与研究计划》，论文草稿作为可选成果。</w:t>
            </w:r>
          </w:p>
        </w:tc>
      </w:tr>
    </w:tbl>
    <w:p/>
    <w:p>
      <w:pPr>
        <w:pStyle w:val="Heading1"/>
      </w:pPr>
      <w:r>
        <w:t>3. 教育智研目标架构</w:t>
      </w:r>
    </w:p>
    <w:p>
      <w:r>
        <w:t>目标架构采用六层模型：交互层、应用服务层、EduSciFlow 编排层、EduSciDAG 智能体层、EduSciMem 记忆层、工具与基础设施层。</w:t>
      </w:r>
    </w:p>
    <w:p>
      <w:r>
        <w:drawing>
          <wp:inline xmlns:a="http://schemas.openxmlformats.org/drawingml/2006/main" xmlns:pic="http://schemas.openxmlformats.org/drawingml/2006/picture">
            <wp:extent cx="6192000" cy="4073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育智研_AutoSci参考版总体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8"/>
        </w:rPr>
        <w:t>图 3  教育智研 AutoSci 参考版六层架构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核心职责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关键组件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可观测输出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交互层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承载研究者输入 idea、确认门控、编辑问卷、上传数据、查看报告。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 工作台、项目空间、问卷编辑器、结果解释页、导出中心。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用户操作日志、确认记录、导出文件。</w:t>
            </w:r>
          </w:p>
        </w:tc>
      </w:tr>
      <w:tr>
        <w:tc>
          <w:tcPr>
            <w:tcW w:type="dxa" w:w="153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应用服务层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处理用户、项目、任务、文件、权限和产物管理。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Gateway、Project Service、Task Queue、Artifact Service。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任务状态、文件元数据、运行日志。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EduSciFlow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负责科研流程状态机和条件分流。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流程控制器、门控器、Human Gate、Retry/Resume。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流程状态、节点结果、失败原因。</w:t>
            </w:r>
          </w:p>
        </w:tc>
      </w:tr>
      <w:tr>
        <w:tc>
          <w:tcPr>
            <w:tcW w:type="dxa" w:w="153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EduSciDAG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负责多 Agent 执行图编排。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Registry、DAG Executor、Tool Router、Judge Node。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节点输入输出、依赖关系、审查评分。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EduSciMem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负责长期知识、项目记忆、证据图谱和版本沉淀。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文献库、变量库、量表库、项目库、图谱库、向量库。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可追溯证据、引用、版本历史。</w:t>
            </w:r>
          </w:p>
        </w:tc>
      </w:tr>
      <w:tr>
        <w:tc>
          <w:tcPr>
            <w:tcW w:type="dxa" w:w="153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工具与基础设施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提供模型、检索、统计、存储、部署和监控能力。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Qwen/百炼 API、Python 统计引擎、数据库、对象存储、日志监控。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调用凭证、统计结果、系统指标。</w:t>
            </w:r>
          </w:p>
        </w:tc>
      </w:tr>
    </w:tbl>
    <w:p/>
    <w:p>
      <w:pPr>
        <w:pStyle w:val="Heading1"/>
      </w:pPr>
      <w:r>
        <w:t>4. EduSciMem：教育科研记忆层实现</w:t>
      </w:r>
    </w:p>
    <w:p>
      <w:r>
        <w:t>EduSciMem 是本项目区别于普通 RAG 写作工具的核心。普通 RAG 只在一次请求中检索文档；EduSciMem 要将教育研究过程中的文献、变量、量表、数据、假设和输出持续结构化，使系统具备跨项目积累能力。</w:t>
      </w:r>
    </w:p>
    <w:p>
      <w:r>
        <w:drawing>
          <wp:inline xmlns:a="http://schemas.openxmlformats.org/drawingml/2006/main" xmlns:pic="http://schemas.openxmlformats.org/drawingml/2006/picture">
            <wp:extent cx="6192000" cy="337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育智研_EduSciMem记忆结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8"/>
        </w:rPr>
        <w:t>图 4  EduSciMem 记忆与证据图谱结构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3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记忆类型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实体示例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写入来源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读取用途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Paper Memory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论文、政策文件、统计报告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title、authors、year、source_level、method、sample、findings、limitations、citations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文献检索 Agent、事实抽取 Agent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文献综述、证据支持、引用校验</w:t>
            </w:r>
          </w:p>
        </w:tc>
      </w:tr>
      <w:tr>
        <w:tc>
          <w:tcPr>
            <w:tcW w:type="dxa" w:w="136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Variable Memory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焦虑、技术自我效能、学习投入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definition、measurement、related_scales、control_vars、education_stage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问题解析 Agent、人工审核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变量识别、假设生成、问卷设计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Scale Memory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Anxiety Scale、学习动机量表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dimensions、items、reliability、validity、source、applicable_population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量表库导入、文献抽取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问卷生成、信效度解释</w:t>
            </w:r>
          </w:p>
        </w:tc>
      </w:tr>
      <w:tr>
        <w:tc>
          <w:tcPr>
            <w:tcW w:type="dxa" w:w="136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 Memory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一次研究任务的完整状态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idea、problem、hypotheses、flow_state、human_decisions、artifacts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流程编排器自动写入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断点续跑、版本追踪、复审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 Memory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公开数据、用户上传问卷数据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schema、source、desensitization、quality_report、analysis_results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数据导入、清洗 Agent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统计分析、结果生成</w:t>
            </w:r>
          </w:p>
        </w:tc>
      </w:tr>
      <w:tr>
        <w:tc>
          <w:tcPr>
            <w:tcW w:type="dxa" w:w="136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Method Memory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问卷、访谈、实验、统计模型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method_type、assumptions、steps、metrics、risk_notes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模板库、复审 Agent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方法推荐、实验设计</w:t>
            </w:r>
          </w:p>
        </w:tc>
      </w:tr>
    </w:tbl>
    <w:p/>
    <w:p>
      <w:pPr>
        <w:pStyle w:val="Heading2"/>
      </w:pPr>
      <w:r>
        <w:t>4.1 证据图谱关系设计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边类型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supports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→ Hypothesis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证据支持某个研究假设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某论文发现技术焦虑与职业替代感相关，支持 H1。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contradicts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→ Hypothesis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证据与假设方向相反或存在限制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某研究发现专业差异不显著，削弱 H1。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measures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Scale → Variable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量表测量某变量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焦虑量表测量 AI anxiety。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controls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Variable → Variable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一个变量可作为控制变量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使用频率控制专业与焦虑关系。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uses_method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 → Method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项目使用某方法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焦虑项目使用问卷调查 + ANOVA。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derived_from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Artifact → Source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输出产物来源于证据或数据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研究计划的结论段来源于统计结果和文献证据。</w:t>
            </w:r>
          </w:p>
        </w:tc>
      </w:tr>
    </w:tbl>
    <w:p/>
    <w:p>
      <w:pPr>
        <w:pStyle w:val="Heading1"/>
      </w:pPr>
      <w:r>
        <w:t>5. EduSciFlow：教育科研生命周期编排</w:t>
      </w:r>
    </w:p>
    <w:p>
      <w:r>
        <w:t>EduSciFlow 是一个带门控的状态机。它不是固定的线性流程，而是根据“信息充足度”和“问题可探究性”动态分流。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处理逻辑</w:t>
            </w:r>
          </w:p>
        </w:tc>
        <w:tc>
          <w:tcPr>
            <w:tcW w:type="dxa" w:w="209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失败/回退策略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S0 Idea Intake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自然语言 idea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识别研究对象、变量、学段、教育场景、预期方法。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标准化研究问题 + 变量表。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变量不清时要求用户补充或生成澄清问题。</w:t>
            </w:r>
          </w:p>
        </w:tc>
      </w:tr>
      <w:tr>
        <w:tc>
          <w:tcPr>
            <w:tcW w:type="dxa" w:w="113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S1 Evidence Build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研究问题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并行检索文献、政策、公开数据，抽取事实。</w:t>
            </w:r>
          </w:p>
        </w:tc>
        <w:tc>
          <w:tcPr>
            <w:tcW w:type="dxa" w:w="209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证据包、候选数据源、知识缺口。</w:t>
            </w:r>
          </w:p>
        </w:tc>
        <w:tc>
          <w:tcPr>
            <w:tcW w:type="dxa" w:w="215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检索不足时扩大关键词或切换数据库。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S2 Gate Judge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证据包 + 变量表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计算信息充足度、可探究性、伦理风险。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路径 A/B/C/D 分流结果。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低置信度时进入人工确认。</w:t>
            </w:r>
          </w:p>
        </w:tc>
      </w:tr>
      <w:tr>
        <w:tc>
          <w:tcPr>
            <w:tcW w:type="dxa" w:w="113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S3 Study Design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分流路径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生成数据分析方案、问卷、小实验、访谈提纲或探索方案。</w:t>
            </w:r>
          </w:p>
        </w:tc>
        <w:tc>
          <w:tcPr>
            <w:tcW w:type="dxa" w:w="209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研究设计文档。</w:t>
            </w:r>
          </w:p>
        </w:tc>
        <w:tc>
          <w:tcPr>
            <w:tcW w:type="dxa" w:w="215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复审失败时回到 S1 或 S2。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S4 Data Analysis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公开数据或上传数据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清洗、描述统计、信效度、假设检验、可视化。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分析结果与解释。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数据质量不足时输出质量报告并请求补采。</w:t>
            </w:r>
          </w:p>
        </w:tc>
      </w:tr>
      <w:tr>
        <w:tc>
          <w:tcPr>
            <w:tcW w:type="dxa" w:w="113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S5 Paper Plan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 + 分析结果</w:t>
            </w:r>
          </w:p>
        </w:tc>
        <w:tc>
          <w:tcPr>
            <w:tcW w:type="dxa" w:w="294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生成研究计划或论文草稿。</w:t>
            </w:r>
          </w:p>
        </w:tc>
        <w:tc>
          <w:tcPr>
            <w:tcW w:type="dxa" w:w="209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标准字段完整的研究计划。</w:t>
            </w:r>
          </w:p>
        </w:tc>
        <w:tc>
          <w:tcPr>
            <w:tcW w:type="dxa" w:w="215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引用校验失败时禁止导出最终版。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S6 Review &amp; Refine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研究计划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独立复审逻辑、引用、统计、伦理和格式。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评分、风险清单、修订版。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关键风险未修复时仅允许导出草稿版。</w:t>
            </w:r>
          </w:p>
        </w:tc>
      </w:tr>
    </w:tbl>
    <w:p/>
    <w:p>
      <w:pPr>
        <w:pStyle w:val="Heading2"/>
      </w:pPr>
      <w:r>
        <w:t>5.1 四类分流路径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分流编号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信息充足度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可探究性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系统动作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输出类型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直接整合已有文献和数据，执行统计或证据综合。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带实证证据的研究报告/研究计划。</w:t>
            </w:r>
          </w:p>
        </w:tc>
      </w:tr>
      <w:tr>
        <w:tc>
          <w:tcPr>
            <w:tcW w:type="dxa" w:w="124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生成问卷、小实验或访谈方案，等待用户回传真实数据。</w:t>
            </w:r>
          </w:p>
        </w:tc>
        <w:tc>
          <w:tcPr>
            <w:tcW w:type="dxa" w:w="215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数据采集方案 + 回传后分析报告。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做理论梳理和概念辨析，不生成强实证结论。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文献综述型研究建议。</w:t>
            </w:r>
          </w:p>
        </w:tc>
      </w:tr>
      <w:tr>
        <w:tc>
          <w:tcPr>
            <w:tcW w:type="dxa" w:w="124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拒绝确定性结论，输出探索性假设和后续验证路径。</w:t>
            </w:r>
          </w:p>
        </w:tc>
        <w:tc>
          <w:tcPr>
            <w:tcW w:type="dxa" w:w="215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探索性论文草稿/研究方向建议。</w:t>
            </w:r>
          </w:p>
        </w:tc>
      </w:tr>
    </w:tbl>
    <w:p/>
    <w:p>
      <w:pPr>
        <w:pStyle w:val="Heading1"/>
      </w:pPr>
      <w:r>
        <w:t>6. EduSciDAG：多智能体 DAG 执行引擎</w:t>
      </w:r>
    </w:p>
    <w:p>
      <w:r>
        <w:t>EduSciDAG 将复杂科研任务拆成有依赖关系的节点。每个节点必须声明输入、输出、工具、模型、失败策略和校验规则。这样既便于并行执行，也便于在比赛材料中展示技术深度和可复现性。</w:t>
      </w:r>
    </w:p>
    <w:p>
      <w:r>
        <w:drawing>
          <wp:inline xmlns:a="http://schemas.openxmlformats.org/drawingml/2006/main" xmlns:pic="http://schemas.openxmlformats.org/drawingml/2006/picture">
            <wp:extent cx="6192000" cy="36500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育智研_EduSciDAG执行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65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8"/>
        </w:rPr>
        <w:t>图 5  EduSciDAG 执行图：从 idea 到输出的可追踪节点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节点类型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是否可并行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 Agent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主要工具</w:t>
            </w:r>
          </w:p>
        </w:tc>
        <w:tc>
          <w:tcPr>
            <w:tcW w:type="dxa" w:w="2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质量校验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解析节点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Problem Parser Agent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Qwen、教育领域变量词表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变量完整性、研究对象明确性。</w:t>
            </w:r>
          </w:p>
        </w:tc>
      </w:tr>
      <w:tr>
        <w:tc>
          <w:tcPr>
            <w:tcW w:type="dxa" w:w="147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检索节点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38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Literature Search Agent、Dataset Search Agent</w:t>
            </w:r>
          </w:p>
        </w:tc>
        <w:tc>
          <w:tcPr>
            <w:tcW w:type="dxa" w:w="238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 API、Semantic Scholar、政策库、教育统计数据库</w:t>
            </w:r>
          </w:p>
        </w:tc>
        <w:tc>
          <w:tcPr>
            <w:tcW w:type="dxa" w:w="232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来源等级、去重、时间范围。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抽取节点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 Extraction Agent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结构化抽取、规则抽取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claim 与 source 对齐，禁止无来源结论。</w:t>
            </w:r>
          </w:p>
        </w:tc>
      </w:tr>
      <w:tr>
        <w:tc>
          <w:tcPr>
            <w:tcW w:type="dxa" w:w="147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门控节点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38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Gate Judge Agent</w:t>
            </w:r>
          </w:p>
        </w:tc>
        <w:tc>
          <w:tcPr>
            <w:tcW w:type="dxa" w:w="238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评分规则、阈值、Rubric</w:t>
            </w:r>
          </w:p>
        </w:tc>
        <w:tc>
          <w:tcPr>
            <w:tcW w:type="dxa" w:w="232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信息充足度、可探究性、伦理风险。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生成节点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部分可并行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 Agent、Study Design Agent、Writer Agent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Qwen、模板库、统计建议器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字段完整性、逻辑一致性。</w:t>
            </w:r>
          </w:p>
        </w:tc>
      </w:tr>
      <w:tr>
        <w:tc>
          <w:tcPr>
            <w:tcW w:type="dxa" w:w="147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计算节点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38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 Analysis Agent</w:t>
            </w:r>
          </w:p>
        </w:tc>
        <w:tc>
          <w:tcPr>
            <w:tcW w:type="dxa" w:w="238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Python、pandas、scipy、statsmodels、sklearn</w:t>
            </w:r>
          </w:p>
        </w:tc>
        <w:tc>
          <w:tcPr>
            <w:tcW w:type="dxa" w:w="232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统计前提、数据质量、可复现脚本。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复审节点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 Judge、Stats Judge、Logic Judge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 LLM、规则校验、脚本校验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引用真实性、统计合理性、结论边界。</w:t>
            </w:r>
          </w:p>
        </w:tc>
      </w:tr>
    </w:tbl>
    <w:p/>
    <w:p>
      <w:pPr>
        <w:pStyle w:val="Heading1"/>
      </w:pPr>
      <w:r>
        <w:t>7. EduSciEvolve：反馈演化机制</w:t>
      </w:r>
    </w:p>
    <w:p>
      <w:r>
        <w:t>EduSciEvolve 的目标不是让系统不受控制地自我修改代码，而是把反馈沉淀为可审查、可版本化的规则、模板和知识库更新。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反馈来源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可采集信号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更新对象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更新方式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人工审核要求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用户反馈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用户修改研究问题、删除题项、调整变量。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变量库、问卷模板、澄清问题模板。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 diff，生成候选更新。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重要模板更新需人工批准。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问卷/实验结果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无效问卷比例、信度不足、变量不显著。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研究设计模板、样本量建议、统计方法推荐。</w:t>
            </w:r>
          </w:p>
        </w:tc>
        <w:tc>
          <w:tcPr>
            <w:tcW w:type="dxa" w:w="215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形成失败案例库和风险提示。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统计规则更新需审核。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复审 Agent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引用错误、逻辑跳跃、结论过度。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提示词、引用校验规则、写作模板。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 prompt 和校验阈值。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保留前后版本。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专家评审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比赛或教师评审评分。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评分 Rubric、示例库、研究计划模板。</w:t>
            </w:r>
          </w:p>
        </w:tc>
        <w:tc>
          <w:tcPr>
            <w:tcW w:type="dxa" w:w="215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将高分案例沉淀为 few-shot 示例。</w:t>
            </w:r>
          </w:p>
        </w:tc>
        <w:tc>
          <w:tcPr>
            <w:tcW w:type="dxa" w:w="124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强制人工确认。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外部环境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教育政策变化、数据库更新。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政策库、数据源目录、时效性规则。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定期更新，标注时间戳。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自动更新后需抽检。</w:t>
            </w:r>
          </w:p>
        </w:tc>
      </w:tr>
    </w:tbl>
    <w:p/>
    <w:p>
      <w:pPr>
        <w:pStyle w:val="Heading2"/>
      </w:pPr>
      <w:r>
        <w:t>7.1 演化边界</w:t>
      </w:r>
    </w:p>
    <w:p>
      <w:pPr>
        <w:pStyle w:val="ListBullet"/>
      </w:pPr>
      <w:r>
        <w:t>不允许系统自动修改核心安全规则、隐私规则和伦理门控。</w:t>
      </w:r>
    </w:p>
    <w:p>
      <w:pPr>
        <w:pStyle w:val="ListBullet"/>
      </w:pPr>
      <w:r>
        <w:t>不允许系统把用户上传的原始敏感数据写入可复用的公共记忆；只能沉淀脱敏字段结构和方法经验。</w:t>
      </w:r>
    </w:p>
    <w:p>
      <w:pPr>
        <w:pStyle w:val="ListBullet"/>
      </w:pPr>
      <w:r>
        <w:t>不允许因单个项目结果而直接改变通用结论；所有知识更新必须带来源、版本和置信度。</w:t>
      </w:r>
    </w:p>
    <w:p>
      <w:pPr>
        <w:pStyle w:val="ListBullet"/>
      </w:pPr>
      <w:r>
        <w:t>所有模板更新必须可回滚，保留旧版本、更新时间、触发原因和审核人。</w:t>
      </w:r>
    </w:p>
    <w:p>
      <w:pPr>
        <w:pStyle w:val="Heading1"/>
      </w:pPr>
      <w:r>
        <w:t>8. 核心 Agent 与工具链设计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Agent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输出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推荐模型/工具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Problem Parser Agent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将自然语言 idea 转为标准研究问题，识别变量与场景。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 idea、历史项目记忆。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问题陈述、变量表、澄清问题。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Qwen-Plus/Turbo、变量词表。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Literature Search Agent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检索教育学、心理学、社会学相关文献。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问题关键词、变量同义词。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文献候选列表、摘要、来源等级。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搜索 API、Semantic Scholar、ERIC、政策库。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Fact Extraction Agent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从文献中抽取 claim、method、sample、finding。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文献片段。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结构化事实卡片。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Qwen + JSON Schema。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Evidence Judge Agent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评估来源可靠性、一致性和证据强度。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事实卡片、来源元数据。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证据评分、冲突说明。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规则评分 + Qwen Judge。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Researchability Agent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判断变量是否可测量、方法是否可行、伦理风险。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变量表、证据包。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可探究性评分、路径分流。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Rubric + 教育研究方法模板。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Questionnaire/Experiment Agent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生成问卷、小实验、访谈或课堂观察方案。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研究问题、变量、量表库。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问卷条目、实验流程、采样建议。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Qwen + 模板库。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 Analysis Agent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对公开数据或上传数据进行清洗和统计分析。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CSV/XLSX、变量字典。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统计表、图、脚本、解释。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Python、pandas、scipy、statsmodels。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Writer Agent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生成研究计划或论文草稿。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证据、分析结果、输出 Schema。</w:t>
            </w:r>
          </w:p>
        </w:tc>
        <w:tc>
          <w:tcPr>
            <w:tcW w:type="dxa" w:w="19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结构化文档草稿。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Qwen + 输出模板。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Review Agent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独立检查引用、逻辑、统计、伦理和格式。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草稿、证据图谱、统计脚本。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评分、风险清单、修订建议。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第二模型或 Qwen Judge + 规则。</w:t>
            </w:r>
          </w:p>
        </w:tc>
      </w:tr>
    </w:tbl>
    <w:p/>
    <w:p>
      <w:pPr>
        <w:pStyle w:val="Heading1"/>
      </w:pPr>
      <w:r>
        <w:t>9. RAG、证据校验与引用追踪</w:t>
      </w:r>
    </w:p>
    <w:p>
      <w:r>
        <w:t>教育智研的 RAG 不应只做“向量检索 + 拼接上下文”。为了满足科研规范，需要采用 Evidence-first RAG：先建立可追踪证据，再生成研究判断。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实现方案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关键输出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风险控制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文档摄入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PDF/HTML/政策文本解析，切分为段落块，保留页码、段落、标题层级。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DocumentChunk、SourceMeta。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解析失败时提示人工上传更清晰版本。</w:t>
            </w:r>
          </w:p>
        </w:tc>
      </w:tr>
      <w:tr>
        <w:tc>
          <w:tcPr>
            <w:tcW w:type="dxa" w:w="141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向量化检索</w:t>
            </w:r>
          </w:p>
        </w:tc>
        <w:tc>
          <w:tcPr>
            <w:tcW w:type="dxa" w:w="311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按研究问题、变量、理论、方法分别检索，避免单一 query 偏差。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Top-k chunks + 检索分数。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同一来源过度集中时触发来源多样性约束。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事实抽取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 claim、样本、方法、结果、限制和引用。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EvidenceCard。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claim 必须绑定 source_id 和原文位置。</w:t>
            </w:r>
          </w:p>
        </w:tc>
      </w:tr>
      <w:tr>
        <w:tc>
          <w:tcPr>
            <w:tcW w:type="dxa" w:w="141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证据去伪</w:t>
            </w:r>
          </w:p>
        </w:tc>
        <w:tc>
          <w:tcPr>
            <w:tcW w:type="dxa" w:w="311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按来源等级、年份、样本量、方法适配性、一致性评分。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EvidenceScore。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低于阈值的证据不得作为结论依据。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生成前装配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只把高质量证据和冲突证据一并输入生成器。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EvidencePacket。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显式要求写出“不确定性”和“研究限制”。</w:t>
            </w:r>
          </w:p>
        </w:tc>
      </w:tr>
      <w:tr>
        <w:tc>
          <w:tcPr>
            <w:tcW w:type="dxa" w:w="141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生成后校验</w:t>
            </w:r>
          </w:p>
        </w:tc>
        <w:tc>
          <w:tcPr>
            <w:tcW w:type="dxa" w:w="311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逐句检查结论是否有证据支持。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CitationMap、UnsupportedClaims。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发现无证据结论则回退重写。</w:t>
            </w:r>
          </w:p>
        </w:tc>
      </w:tr>
    </w:tbl>
    <w:p/>
    <w:p>
      <w:pPr>
        <w:pStyle w:val="Heading1"/>
      </w:pPr>
      <w:r>
        <w:t>10. 数据分析引擎与问卷/实验路径</w:t>
      </w:r>
    </w:p>
    <w:p>
      <w:r>
        <w:t>教育学项目中最能体现应用差异的是“信息不足但可探究”路径。系统应生成问卷或小实验，但必须等待用户回传真实数据后再分析，不生成伪造实验结果。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分析任务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描述统计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所有上传问卷数据。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均值、标准差、分布、缺失值、异常值。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样本概况表、变量分布图。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信度分析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多题项量表。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Cronbach α、题项-总分相关。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量表信度表、删除题项建议。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效度初检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样本量允许时。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KMO、Bartlett、探索性因子分析。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维度结构初检。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组间差异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专业、年级、性别等分类变量。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 检验、ANOVA、非参数检验。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差异显著性和效应量。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相关与回归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连续变量关系。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Pearson/Spearman、OLS/Logistic 回归。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关系方向、显著性、解释力。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中介/调节探索</w:t>
            </w:r>
          </w:p>
        </w:tc>
        <w:tc>
          <w:tcPr>
            <w:tcW w:type="dxa" w:w="226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用户选择或证据支持。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分层回归、Bootstrap 中介分析。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机制解释与限制。</w:t>
            </w:r>
          </w:p>
        </w:tc>
      </w:tr>
    </w:tbl>
    <w:p/>
    <w:p>
      <w:pPr>
        <w:pStyle w:val="Heading2"/>
      </w:pPr>
      <w:r>
        <w:t>10.1 问卷生成质量约束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系统校验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变量对齐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每个问卷维度必须对应研究变量或控制变量。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题项生成后生成变量-题项映射表。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题项中立</w:t>
            </w:r>
          </w:p>
        </w:tc>
        <w:tc>
          <w:tcPr>
            <w:tcW w:type="dxa" w:w="45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避免暗示性、诱导性和双重问题。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 Agent 检查题项偏差。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量表来源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优先复用已有量表或改编量表，并标明来源。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Scale Memory 匹配。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伦理提醒</w:t>
            </w:r>
          </w:p>
        </w:tc>
        <w:tc>
          <w:tcPr>
            <w:tcW w:type="dxa" w:w="45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涉及心理压力、未成年人、敏感信息时提示伦理风险。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Ethics Gate 触发人工确认。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可分析性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问卷题型需要支持后续统计分析。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 Analysis Agent 预生成变量字典。</w:t>
            </w:r>
          </w:p>
        </w:tc>
      </w:tr>
    </w:tbl>
    <w:p/>
    <w:p>
      <w:pPr>
        <w:pStyle w:val="Heading1"/>
      </w:pPr>
      <w:r>
        <w:t>11. 系统 API 与数据库设计</w:t>
      </w:r>
    </w:p>
    <w:p>
      <w:pPr>
        <w:pStyle w:val="Heading2"/>
      </w:pPr>
      <w:r>
        <w:t>11.1 核心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接口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请求核心字段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返回核心字段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/api/projects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title、domain、user_id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project_id、created_at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创建研究项目。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/api/ideas/parse</w:t>
            </w:r>
          </w:p>
        </w:tc>
        <w:tc>
          <w:tcPr>
            <w:tcW w:type="dxa" w:w="9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project_id、idea_text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problem、variables、clarifying_questions</w:t>
            </w:r>
          </w:p>
        </w:tc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解析研究想法。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/api/evidence/build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project_id、problem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task_id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启动检索与证据构建任务。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/api/gate/judge</w:t>
            </w:r>
          </w:p>
        </w:tc>
        <w:tc>
          <w:tcPr>
            <w:tcW w:type="dxa" w:w="9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project_id、evidence_packet_id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route、scores、reason</w:t>
            </w:r>
          </w:p>
        </w:tc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执行充足度和可探究性门控。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/api/study-design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project_id、route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questionnaire/experiment/design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生成研究设计。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/api/datasets/upload</w:t>
            </w:r>
          </w:p>
        </w:tc>
        <w:tc>
          <w:tcPr>
            <w:tcW w:type="dxa" w:w="9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project_id、file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dataset_id、schema、quality_report</w:t>
            </w:r>
          </w:p>
        </w:tc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上传问卷或实验结果。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/api/analysis/run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dataset_id、analysis_plan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analysis_id、status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运行统计分析。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/api/report/generate</w:t>
            </w:r>
          </w:p>
        </w:tc>
        <w:tc>
          <w:tcPr>
            <w:tcW w:type="dxa" w:w="9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project_id、artifact_type</w:t>
            </w:r>
          </w:p>
        </w:tc>
        <w:tc>
          <w:tcPr>
            <w:tcW w:type="dxa" w:w="255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artifact_id、download_url</w:t>
            </w:r>
          </w:p>
        </w:tc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生成研究计划或论文草稿。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/api/review/run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artifact_id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review_score、risk_list、revision_plan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执行复审。</w:t>
            </w:r>
          </w:p>
        </w:tc>
      </w:tr>
    </w:tbl>
    <w:p/>
    <w:p>
      <w:pPr>
        <w:pStyle w:val="Heading2"/>
      </w:pPr>
      <w:r>
        <w:t>11.2 数据库核心表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研究项目主表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id、user_id、title、problem、route、flow_state、created_at、updated_at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research_variables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变量表</w:t>
            </w:r>
          </w:p>
        </w:tc>
        <w:tc>
          <w:tcPr>
            <w:tcW w:type="dxa" w:w="51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id、project_id、name、type、definition、measurement、source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文献/政策/数据源表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id、title、authors、year、source_type、url_hash、source_level、license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evidence_cards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证据卡片</w:t>
            </w:r>
          </w:p>
        </w:tc>
        <w:tc>
          <w:tcPr>
            <w:tcW w:type="dxa" w:w="51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id、source_id、claim、method、sample、finding、limitation、confidence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graph_edges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证据图谱边表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id、from_id、to_id、edge_type、confidence、created_by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datasets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数据集表</w:t>
            </w:r>
          </w:p>
        </w:tc>
        <w:tc>
          <w:tcPr>
            <w:tcW w:type="dxa" w:w="51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id、project_id、schema_json、quality_report、storage_path、desensitized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analysis_runs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分析运行表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id、dataset_id、script_path、result_json、status、logs</w:t>
            </w:r>
          </w:p>
        </w:tc>
      </w:tr>
      <w:tr>
        <w:tc>
          <w:tcPr>
            <w:tcW w:type="dxa" w:w="187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artifacts</w:t>
            </w:r>
          </w:p>
        </w:tc>
        <w:tc>
          <w:tcPr>
            <w:tcW w:type="dxa" w:w="272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输出产物表</w:t>
            </w:r>
          </w:p>
        </w:tc>
        <w:tc>
          <w:tcPr>
            <w:tcW w:type="dxa" w:w="51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id、project_id、type、version、storage_path、citation_map、review_status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agent_runs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运行日志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id、project_id、agent_name、input_hash、output_hash、model、tokens、latency、status</w:t>
            </w:r>
          </w:p>
        </w:tc>
      </w:tr>
    </w:tbl>
    <w:p/>
    <w:p>
      <w:pPr>
        <w:pStyle w:val="Heading1"/>
      </w:pPr>
      <w:r>
        <w:t>12. 部署拓扑、安全合规与运维</w:t>
      </w:r>
    </w:p>
    <w:p>
      <w:r>
        <w:drawing>
          <wp:inline xmlns:a="http://schemas.openxmlformats.org/drawingml/2006/main" xmlns:pic="http://schemas.openxmlformats.org/drawingml/2006/picture">
            <wp:extent cx="6192000" cy="357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育智研_部署拓扑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8"/>
        </w:rPr>
        <w:t>图 6  部署拓扑参考图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建议部署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 Web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Vercel/阿里云 OSS + CDN 或 ECS Nginx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便于演示、迭代和静态资源托管。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 API</w:t>
            </w:r>
          </w:p>
        </w:tc>
        <w:tc>
          <w:tcPr>
            <w:tcW w:type="dxa" w:w="36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+ Uvicorn/Gunicorn，部署在 ECS 或容器服务</w:t>
            </w:r>
          </w:p>
        </w:tc>
        <w:tc>
          <w:tcPr>
            <w:tcW w:type="dxa" w:w="419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生态适合 Agent、RAG、统计分析。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任务队列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Celery/RQ + Redis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检索、分析、报告生成属于异步长任务。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36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419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适合项目、证据、版本和结构化表。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向量库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Milvus/FAISS/pgvector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支持文献和证据检索。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对象存储</w:t>
            </w:r>
          </w:p>
        </w:tc>
        <w:tc>
          <w:tcPr>
            <w:tcW w:type="dxa" w:w="36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阿里云 OSS</w:t>
            </w:r>
          </w:p>
        </w:tc>
        <w:tc>
          <w:tcPr>
            <w:tcW w:type="dxa" w:w="419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存储上传文件、报告、图表和中间产物。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模型服务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阿里云百炼 Qwen API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满足赛题技术基础要求。</w:t>
            </w:r>
          </w:p>
        </w:tc>
      </w:tr>
      <w:tr>
        <w:tc>
          <w:tcPr>
            <w:tcW w:type="dxa" w:w="181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日志监控</w:t>
            </w:r>
          </w:p>
        </w:tc>
        <w:tc>
          <w:tcPr>
            <w:tcW w:type="dxa" w:w="362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OpenTelemetry + 日志文件/云监控</w:t>
            </w:r>
          </w:p>
        </w:tc>
        <w:tc>
          <w:tcPr>
            <w:tcW w:type="dxa" w:w="419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便于展示调用凭证、排错和复现。</w:t>
            </w:r>
          </w:p>
        </w:tc>
      </w:tr>
    </w:tbl>
    <w:p/>
    <w:p>
      <w:pPr>
        <w:pStyle w:val="Heading2"/>
      </w:pPr>
      <w:r>
        <w:t>12.1 数据安全与伦理控制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系统实现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个人信息泄露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上传数据默认进行脱敏检测，姓名、学号、手机号、邮箱等字段进入隔离区。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PII Scanner + 脱敏规则 + 访问权限。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虚构引用</w:t>
            </w:r>
          </w:p>
        </w:tc>
        <w:tc>
          <w:tcPr>
            <w:tcW w:type="dxa" w:w="3969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生成结果必须附 CitationMap；无来源 claim 禁止进入最终报告。</w:t>
            </w:r>
          </w:p>
        </w:tc>
        <w:tc>
          <w:tcPr>
            <w:tcW w:type="dxa" w:w="3969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引用校验 Agent + EvidenceGraph。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伪造数据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系统不得自动生成实验数据充当真实结果。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数据分析节点只接受公开数据或用户上传数据。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伦理风险</w:t>
            </w:r>
          </w:p>
        </w:tc>
        <w:tc>
          <w:tcPr>
            <w:tcW w:type="dxa" w:w="3969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涉及未成年人、心理健康、敏感群体时触发伦理提醒。</w:t>
            </w:r>
          </w:p>
        </w:tc>
        <w:tc>
          <w:tcPr>
            <w:tcW w:type="dxa" w:w="3969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Ethics Gate + 人工确认。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结论过度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输出必须标明样本限制、方法限制和因果边界。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 Agent 检查“因果/相关”措辞。</w:t>
            </w:r>
          </w:p>
        </w:tc>
      </w:tr>
    </w:tbl>
    <w:p/>
    <w:p>
      <w:pPr>
        <w:pStyle w:val="Heading1"/>
      </w:pPr>
      <w:r>
        <w:t>13. MVP 开发计划与验收标准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时间建议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开发重点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M1：基础项目与 Qwen 接入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FastAPI、前端框架、Qwen Provider、项目管理。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可创建项目，可调用 Qwen，保存 Agent 日志。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M2：Idea 解析与证据检索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周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Problem Parser、检索工具、文档解析、EvidenceCard。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 idea 后生成变量表和至少 5 条可追踪证据。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M3：门控与分流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信息充足度评分、可探究性评分、四路径分流。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对三个示例问题给出合理路径和理由。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M4：问卷/实验生成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周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问卷模板、量表匹配、题项校验。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焦虑示例可生成完整问卷和变量字典。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M5：数据分析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CSV/XLSX 上传、清洗、描述统计、差异分析、回归。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上传模拟问卷后生成统计表和解释。</w:t>
            </w:r>
          </w:p>
        </w:tc>
      </w:tr>
      <w:tr>
        <w:tc>
          <w:tcPr>
            <w:tcW w:type="dxa" w:w="198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M6：报告与复审</w:t>
            </w:r>
          </w:p>
        </w:tc>
        <w:tc>
          <w:tcPr>
            <w:tcW w:type="dxa" w:w="1417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周</w:t>
            </w:r>
          </w:p>
        </w:tc>
        <w:tc>
          <w:tcPr>
            <w:tcW w:type="dxa" w:w="3402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研究计划生成、DOCX 导出、引用校验、复审评分。</w:t>
            </w:r>
          </w:p>
        </w:tc>
        <w:tc>
          <w:tcPr>
            <w:tcW w:type="dxa" w:w="2835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输出符合赛题字段的研究计划，且无无来源结论。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M7：演示与材料整理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演示前端、案例录屏、技术文档、源码清理。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 3 个案例和 10 分钟内演示视频脚本。</w:t>
            </w:r>
          </w:p>
        </w:tc>
      </w:tr>
    </w:tbl>
    <w:p/>
    <w:p>
      <w:pPr>
        <w:pStyle w:val="Heading2"/>
      </w:pPr>
      <w:r>
        <w:t>13.1 关键验收用例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期望路径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验收重点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公开数据充足型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分析中国人口变化规律对基础教育资源配置的影响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 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能检索公开统计数据，生成证据型研究计划。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信息不足但可探究型</w:t>
            </w:r>
          </w:p>
        </w:tc>
        <w:tc>
          <w:tcPr>
            <w:tcW w:type="dxa" w:w="311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分析大学生 AI 焦虑度与专业的关系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 B</w:t>
            </w:r>
          </w:p>
        </w:tc>
        <w:tc>
          <w:tcPr>
            <w:tcW w:type="dxa" w:w="311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能生成问卷，用户上传数据后进行差异分析。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信息不足且可探究性低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人吃饭速度与眨眼频率的关系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 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不生成确定结论，只给探索假设和实验建议。</w:t>
            </w:r>
          </w:p>
        </w:tc>
      </w:tr>
      <w:tr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引用压力测试</w:t>
            </w:r>
          </w:p>
        </w:tc>
        <w:tc>
          <w:tcPr>
            <w:tcW w:type="dxa" w:w="311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要求生成没有来源的结论</w:t>
            </w:r>
          </w:p>
        </w:tc>
        <w:tc>
          <w:tcPr>
            <w:tcW w:type="dxa" w:w="1701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拒绝或标注证据不足</w:t>
            </w:r>
          </w:p>
        </w:tc>
        <w:tc>
          <w:tcPr>
            <w:tcW w:type="dxa" w:w="3118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Citation Judge 能拦截 unsupported claim。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数据质量测试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上传缺失严重的问卷数据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请求补采或限制结论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 Quality Report 能解释不可分析原因。</w:t>
            </w:r>
          </w:p>
        </w:tc>
      </w:tr>
    </w:tbl>
    <w:p/>
    <w:p>
      <w:pPr>
        <w:pStyle w:val="Heading1"/>
      </w:pPr>
      <w:r>
        <w:t>14. 附录：核心 Schema 与任务编排伪代码</w:t>
      </w:r>
    </w:p>
    <w:p>
      <w:pPr>
        <w:pStyle w:val="Heading2"/>
      </w:pPr>
      <w:r>
        <w:t>14.1 EvidenceCard Schema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866"/>
      </w:tblGrid>
      <w:tr>
        <w:tc>
          <w:tcPr>
            <w:tcW w:type="dxa" w:w="9866"/>
            <w:shd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{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"evidence_id": "ev_20260630_0001",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"source_id": "src_xxx",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"source_type": "journal | report | policy | dataset | web",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"source_level": "A | B | C | D",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"claim": "研究结论或事实陈述",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"method": "研究方法或数据来源",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"sample": "样本对象与规模",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"finding": "主要发现",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"limitation": "限制条件",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"supports_variables": ["AI焦虑", "专业类型"],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"confidence": 0.0,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"location": {"page": 1, "paragraph": 3}</w:t>
            </w:r>
            <w:r>
              <w:br/>
            </w:r>
            <w:r>
              <w:rPr>
                <w:rFonts w:ascii="Courier New" w:hAnsi="Courier New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t>14.2 DAG Node Schema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866"/>
      </w:tblGrid>
      <w:tr>
        <w:tc>
          <w:tcPr>
            <w:tcW w:type="dxa" w:w="9866"/>
            <w:shd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{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"node_id": "gate_judge_01",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"node_type": "judge",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"agent": "ResearchabilityAgent",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"inputs": ["problem", "variable_table", "evidence_packet"],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"outputs": ["route", "score", "reason", "risk_list"],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"tools": ["rubric_scorer", "qwen_judge"],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"retry_policy": {"max_retry": 2, "fallback": "human_gate"},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"quality_gate": {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"min_confidence": 0.75,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"required_fields": ["information_sufficiency", "researchability", "ethics_risk"]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}</w:t>
            </w:r>
            <w:r>
              <w:br/>
            </w:r>
            <w:r>
              <w:rPr>
                <w:rFonts w:ascii="Courier New" w:hAnsi="Courier New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t>14.3 流程编排伪代码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866"/>
      </w:tblGrid>
      <w:tr>
        <w:tc>
          <w:tcPr>
            <w:tcW w:type="dxa" w:w="9866"/>
            <w:shd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def run_research_project(project_id, idea_text):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problem = ProblemParserAgent.run(idea_text)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evidence_packet = EvidenceDAG.run_parallel(problem)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gate = ResearchabilityAgent.judge(problem, evidence_packet)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if gate.route == "A":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analysis_plan = StudyDesignAgent.plan_existing_data(problem, evidence_packet)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results = DataAnalysisAgent.run(analysis_plan)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elif gate.route == "B":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instrument = StudyDesignAgent.generate_questionnaire_or_experiment(problem)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HumanGate.wait_for_user_data(project_id, instrument)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dataset = DatasetService.load_user_upload(project_id)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results = DataAnalysisAgent.run(dataset)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elif gate.route == "C":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results = LiteratureSynthesisAgent.run(problem, evidence_packet)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else: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results = ExploratoryHypothesisAgent.run(problem, evidence_packet)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draft = WriterAgent.generate_research_plan(problem, evidence_packet, results)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review = ReviewDAG.run(draft)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if review.has_blocking_risk: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draft = RefineAgent.rewrite(draft, review)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EduSciMem.commit(project_id, problem, evidence_packet, results, draft, review)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return ArtifactService.export_docx(project_id, draft)</w:t>
            </w:r>
            <w:r>
              <w:br/>
            </w:r>
          </w:p>
        </w:tc>
      </w:tr>
    </w:tbl>
    <w:p/>
    <w:p>
      <w:pPr>
        <w:pStyle w:val="Heading1"/>
      </w:pPr>
      <w:r>
        <w:t>参考资料</w:t>
      </w:r>
    </w:p>
    <w:p>
      <w:pPr>
        <w:pStyle w:val="ListNumber"/>
      </w:pPr>
      <w:r>
        <w:t>AutoSci GitHub README：项目定位、技能命令、运行流程与目录结构。</w:t>
      </w:r>
    </w:p>
    <w:p>
      <w:pPr>
        <w:pStyle w:val="ListNumber"/>
      </w:pPr>
      <w:r>
        <w:t>AutoSci arXiv 论文摘要：SciMem、SciFlow、SciDAG、SciEvolve 四模块。</w:t>
      </w:r>
    </w:p>
    <w:p>
      <w:pPr>
        <w:pStyle w:val="ListNumber"/>
      </w:pPr>
      <w:r>
        <w:t>“基于国产开源大模型的 AI Scientist 的研发与应用”比赛方案：Qwen/百炼、多智能体架构、可验证科学假设输出与提交材料要求。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76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A5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