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微软雅黑" w:hAnsi="微软雅黑" w:eastAsia="微软雅黑"/>
          <w:b/>
          <w:color w:val="1E3A8A"/>
          <w:sz w:val="44"/>
        </w:rPr>
        <w:t>基于 Qwen-Image-2.1-PE-I2I 的姿态迁移提示词重写实验报告</w:t>
      </w:r>
    </w:p>
    <w:p>
      <w:pPr>
        <w:spacing w:before="0" w:after="320"/>
      </w:pPr>
      <w:r>
        <w:rPr>
          <w:rFonts w:ascii="微软雅黑" w:hAnsi="微软雅黑"/>
          <w:color w:val="4B5563"/>
          <w:sz w:val="24"/>
        </w:rPr>
        <w:t>高保真单人/双人富细节提示词工程、Q4_K_M 极限加速、契约净空与 17,450 对全量入库</w:t>
      </w:r>
    </w:p>
    <w:tbl>
      <w:tblPr>
        <w:tblW w:type="auto" w:w="0"/>
        <w:jc w:val="center"/>
        <w:tblLook w:firstColumn="1" w:firstRow="1" w:lastColumn="0" w:lastRow="0" w:noHBand="0" w:noVBand="1" w:val="04A0"/>
      </w:tblPr>
      <w:tblGrid>
        <w:gridCol w:w="9792"/>
      </w:tblGrid>
      <w:tr>
        <w:tc>
          <w:tcPr>
            <w:tcW w:type="dxa" w:w="9792"/>
            <w:shd w:fill="ECFDF5"/>
            <w:tcMar>
              <w:top w:w="140" w:type="dxa"/>
              <w:bottom w:w="140" w:type="dxa"/>
              <w:left w:w="200" w:type="dxa"/>
              <w:right w:w="180" w:type="dxa"/>
            </w:tcMar>
            <w:tcBorders>
              <w:left w:val="single" w:sz="24" w:space="0" w:color="10B981"/>
              <w:top w:val="none"/>
              <w:right w:val="none"/>
              <w:bottom w:val="none"/>
            </w:tcBorders>
          </w:tcPr>
          <w:p>
            <w:pPr>
              <w:spacing w:before="40" w:after="40" w:line="288" w:lineRule="auto"/>
            </w:pPr>
            <w:r>
              <w:rPr>
                <w:rFonts w:ascii="微软雅黑" w:hAnsi="微软雅黑"/>
                <w:b/>
                <w:color w:val="1E3A8A"/>
                <w:sz w:val="21"/>
              </w:rPr>
              <w:t>【实验执行概要】</w:t>
              <w:br/>
            </w:r>
            <w:r>
              <w:rPr>
                <w:rFonts w:ascii="微软雅黑" w:hAnsi="微软雅黑" w:eastAsia="微软雅黑"/>
                <w:b/>
                <w:i w:val="0"/>
                <w:color w:val="1F2937"/>
                <w:sz w:val="20"/>
              </w:rPr>
              <w:t xml:space="preserve">实验评测对象: </w:t>
            </w:r>
            <w:r>
              <w:rPr>
                <w:rFonts w:ascii="微软雅黑" w:hAnsi="微软雅黑" w:eastAsia="微软雅黑"/>
                <w:b w:val="0"/>
                <w:i w:val="0"/>
                <w:sz w:val="20"/>
              </w:rPr>
              <w:t>TikTok 单人姿态数据集 (10,850 对) + Hi4D 双人复杂交互数据集 (6,600 对)</w:t>
              <w:br/>
            </w:r>
            <w:r>
              <w:rPr>
                <w:rFonts w:ascii="微软雅黑" w:hAnsi="微软雅黑" w:eastAsia="微软雅黑"/>
                <w:b/>
                <w:i w:val="0"/>
                <w:color w:val="1F2937"/>
                <w:sz w:val="20"/>
              </w:rPr>
              <w:t xml:space="preserve">基座增强模型: </w:t>
            </w:r>
            <w:r>
              <w:rPr>
                <w:rFonts w:ascii="微软雅黑" w:hAnsi="微软雅黑" w:eastAsia="微软雅黑"/>
                <w:b w:val="0"/>
                <w:i w:val="0"/>
                <w:sz w:val="20"/>
              </w:rPr>
              <w:t>Qwen-Image-2.1-PE-I2I (9B VLM, HuggingFace BF16 / llama.cpp Q4_K_M MTP)</w:t>
              <w:br/>
            </w:r>
            <w:r>
              <w:rPr>
                <w:rFonts w:ascii="微软雅黑" w:hAnsi="微软雅黑" w:eastAsia="微软雅黑"/>
                <w:b/>
                <w:i w:val="0"/>
                <w:color w:val="1F2937"/>
                <w:sz w:val="20"/>
              </w:rPr>
              <w:t xml:space="preserve">算力硬件平台: </w:t>
            </w:r>
            <w:r>
              <w:rPr>
                <w:rFonts w:ascii="微软雅黑" w:hAnsi="微软雅黑" w:eastAsia="微软雅黑"/>
                <w:b w:val="0"/>
                <w:i w:val="0"/>
                <w:sz w:val="20"/>
              </w:rPr>
              <w:t>NVIDIA RTX 6000D 85GB VRAM | CUDA 12.8</w:t>
              <w:br/>
            </w:r>
            <w:r>
              <w:rPr>
                <w:rFonts w:ascii="微软雅黑" w:hAnsi="微软雅黑" w:eastAsia="微软雅黑"/>
                <w:b/>
                <w:i w:val="0"/>
                <w:color w:val="1F2937"/>
                <w:sz w:val="20"/>
              </w:rPr>
              <w:t xml:space="preserve">实验最终状态: </w:t>
            </w:r>
            <w:r>
              <w:rPr>
                <w:rFonts w:ascii="微软雅黑" w:hAnsi="微软雅黑" w:eastAsia="微软雅黑"/>
                <w:b w:val="0"/>
                <w:i w:val="0"/>
                <w:color w:val="059669"/>
                <w:sz w:val="20"/>
              </w:rPr>
              <w:t>全量 17,450 对 100% 重写入库，零失败，下游 Qwen 4 图契约严格对齐，24 样本盲审 QC 全量通过。</w:t>
            </w:r>
          </w:p>
        </w:tc>
      </w:tr>
    </w:tbl>
    <w:p>
      <w:pPr>
        <w:spacing w:after="80"/>
      </w:pPr>
    </w:p>
    <w:p>
      <w:pPr>
        <w:pStyle w:val="Heading1"/>
        <w:keepNext/>
        <w:spacing w:before="360" w:after="120"/>
      </w:pPr>
      <w:r>
        <w:rPr>
          <w:rFonts w:ascii="微软雅黑" w:hAnsi="微软雅黑" w:eastAsia="微软雅黑"/>
          <w:b/>
          <w:color w:val="1E3A8A"/>
          <w:sz w:val="32"/>
        </w:rPr>
        <w:t>一、实验背景与核心目标</w:t>
      </w:r>
    </w:p>
    <w:p>
      <w:pPr>
        <w:spacing w:before="0" w:after="80" w:line="300" w:lineRule="auto"/>
        <w:jc w:val="left"/>
      </w:pPr>
      <w:r>
        <w:rPr>
          <w:rFonts w:ascii="微软雅黑" w:hAnsi="微软雅黑" w:eastAsia="微软雅黑"/>
          <w:b w:val="0"/>
          <w:i w:val="0"/>
          <w:sz w:val="21"/>
        </w:rPr>
        <w:t>在人体动作迁移（Human Pose Transfer）任务中，下游扩散模型（如 Qwen-Image-2.1、DeepGen 系列）通常仅依赖模板化短句提示词（例如 'A person dancing' 或 'Make the two existing people hug'）。这种粗粒度提示词在工业落地与高难度场景下暴露了三大严重瓶颈：</w:t>
      </w:r>
    </w:p>
    <w:p>
      <w:pPr>
        <w:spacing w:before="0" w:after="80" w:line="300" w:lineRule="auto"/>
        <w:jc w:val="left"/>
      </w:pPr>
      <w:r>
        <w:rPr>
          <w:rFonts w:ascii="微软雅黑" w:hAnsi="微软雅黑" w:eastAsia="微软雅黑"/>
          <w:b w:val="0"/>
          <w:i w:val="0"/>
          <w:sz w:val="21"/>
        </w:rPr>
        <w:t>1. 肢体交错与遮挡混淆（Limb Occlusion Confusion）：在双人拥抱、扭打、交谊舞等肢体严重重叠的场景下，下游模型仅靠全局骨架图极易分不清胳膊归属，发生肢体粘连或异变；</w:t>
      </w:r>
    </w:p>
    <w:p>
      <w:pPr>
        <w:spacing w:before="0" w:after="80" w:line="300" w:lineRule="auto"/>
        <w:jc w:val="left"/>
      </w:pPr>
      <w:r>
        <w:rPr>
          <w:rFonts w:ascii="微软雅黑" w:hAnsi="微软雅黑" w:eastAsia="微软雅黑"/>
          <w:b w:val="0"/>
          <w:i w:val="0"/>
          <w:sz w:val="21"/>
        </w:rPr>
        <w:t>2. 身份与服装换位串色（Identity Swap）：缺乏精细人物位置绑定，模型常将左侧人的衣服绘制在右侧人身上，或在重姿态迁移中发生发型、面容漂移；</w:t>
      </w:r>
    </w:p>
    <w:p>
      <w:pPr>
        <w:spacing w:before="0" w:after="80" w:line="300" w:lineRule="auto"/>
        <w:jc w:val="left"/>
      </w:pPr>
      <w:r>
        <w:rPr>
          <w:rFonts w:ascii="微软雅黑" w:hAnsi="微软雅黑" w:eastAsia="微软雅黑"/>
          <w:b w:val="0"/>
          <w:i w:val="0"/>
          <w:sz w:val="21"/>
        </w:rPr>
        <w:t>3. 物理接触与动力学缺失（Contact Dynamics Deficit）：传统提示词无法表达手掌抓握、躯干按压、脚底重心偏移与投影阴影等微物理接触。</w:t>
      </w:r>
    </w:p>
    <w:p>
      <w:pPr>
        <w:spacing w:before="0" w:after="80" w:line="300" w:lineRule="auto"/>
        <w:jc w:val="left"/>
      </w:pPr>
      <w:r>
        <w:rPr>
          <w:rFonts w:ascii="微软雅黑" w:hAnsi="微软雅黑" w:eastAsia="微软雅黑"/>
          <w:b w:val="0"/>
          <w:i w:val="0"/>
          <w:sz w:val="21"/>
        </w:rPr>
        <w:t>为此，本实验引入官方专业级提示词重写大模型 Qwen-Image-2.1-PE-I2I，旨在构建千万 Token 级别的工业级高质量提示词库，覆盖单人长程（TikTok 10,850 对）与双人复杂交互（Hi4D 6,600 对），实现由骨架驱动、视觉解耦的高保真细粒度文本控制。</w:t>
      </w:r>
    </w:p>
    <w:p>
      <w:pPr>
        <w:pStyle w:val="Heading1"/>
        <w:keepNext/>
        <w:spacing w:before="360" w:after="120"/>
      </w:pPr>
      <w:r>
        <w:rPr>
          <w:rFonts w:ascii="微软雅黑" w:hAnsi="微软雅黑" w:eastAsia="微软雅黑"/>
          <w:b/>
          <w:color w:val="1E3A8A"/>
          <w:sz w:val="32"/>
        </w:rPr>
        <w:t>二、模型选型、图谱输入与生成架构</w:t>
      </w:r>
    </w:p>
    <w:p>
      <w:pPr>
        <w:spacing w:before="0" w:after="80" w:line="300" w:lineRule="auto"/>
        <w:jc w:val="left"/>
      </w:pPr>
      <w:r>
        <w:rPr>
          <w:rFonts w:ascii="微软雅黑" w:hAnsi="微软雅黑" w:eastAsia="微软雅黑"/>
          <w:b w:val="0"/>
          <w:i w:val="0"/>
          <w:sz w:val="21"/>
        </w:rPr>
        <w:t>2.1 模型选型演进：从 BF16 原生到 Q4_K_M MTP 加速</w:t>
      </w:r>
    </w:p>
    <w:p>
      <w:pPr>
        <w:spacing w:before="0" w:after="80" w:line="300" w:lineRule="auto"/>
        <w:jc w:val="left"/>
      </w:pPr>
      <w:r>
        <w:rPr>
          <w:rFonts w:ascii="微软雅黑" w:hAnsi="微软雅黑" w:eastAsia="微软雅黑"/>
          <w:b w:val="0"/>
          <w:i w:val="0"/>
          <w:sz w:val="21"/>
        </w:rPr>
        <w:t>本实验针对重写流水线经历了关键的技术选型与推理引擎升级：</w:t>
      </w: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200" w:type="dxa"/>
              <w:right w:w="180" w:type="dxa"/>
            </w:tcMar>
            <w:tcBorders>
              <w:left w:val="single" w:sz="24" w:space="0" w:color="2563EB"/>
              <w:top w:val="none"/>
              <w:right w:val="none"/>
              <w:bottom w:val="none"/>
            </w:tcBorders>
          </w:tcPr>
          <w:p>
            <w:pPr>
              <w:spacing w:before="40" w:after="40" w:line="288" w:lineRule="auto"/>
            </w:pPr>
            <w:r>
              <w:rPr>
                <w:rFonts w:ascii="微软雅黑" w:hAnsi="微软雅黑"/>
                <w:b/>
                <w:color w:val="1E3A8A"/>
                <w:sz w:val="21"/>
              </w:rPr>
              <w:t>【推理引擎核心演进】</w:t>
              <w:br/>
            </w:r>
            <w:r>
              <w:rPr>
                <w:rFonts w:ascii="微软雅黑" w:hAnsi="微软雅黑" w:eastAsia="微软雅黑"/>
                <w:b/>
                <w:i w:val="0"/>
                <w:color w:val="1E3A8A"/>
                <w:sz w:val="20"/>
              </w:rPr>
              <w:t>• 官方原生 BF16 (HuggingFace Transformers)：</w:t>
            </w:r>
            <w:r>
              <w:rPr>
                <w:rFonts w:ascii="微软雅黑" w:hAnsi="微软雅黑" w:eastAsia="微软雅黑"/>
                <w:b w:val="0"/>
                <w:i w:val="0"/>
                <w:sz w:val="20"/>
              </w:rPr>
              <w:t>单模型加载即占 19.3~23.5 GiB 显存，受限于注意力计算，单条生成耗时在 14.8~22 秒，在 85GB 显卡上最多仅能并发 2~3 路，跑满 6,600 对需要 16~20 小时；</w:t>
              <w:br/>
            </w:r>
            <w:r>
              <w:rPr>
                <w:rFonts w:ascii="微软雅黑" w:hAnsi="微软雅黑" w:eastAsia="微软雅黑"/>
                <w:b/>
                <w:i w:val="0"/>
                <w:color w:val="1E3A8A"/>
                <w:sz w:val="20"/>
              </w:rPr>
              <w:t>• 社区量化版 Q4_K_M (llama-server + MTP 投机解码)：</w:t>
            </w:r>
            <w:r>
              <w:rPr>
                <w:rFonts w:ascii="微软雅黑" w:hAnsi="微软雅黑" w:eastAsia="微软雅黑"/>
                <w:b w:val="0"/>
                <w:i w:val="0"/>
                <w:sz w:val="20"/>
              </w:rPr>
              <w:t>采用中高精度混合量化，将语言模型主干压缩至 4-bit（权重仅 5.6 GB），配合 FlashAttention 与 Multi-Token Prediction (MTP) 推测解码。更关键的是，视觉编码器 (mmproj) 采用全精度 BF16 保持无损，视觉骨骼感知 100% 保真。单卡显存骤降至 8.6 GiB，单条最快仅需 2.33 秒，单卡可轻松并发 5~8 路！</w:t>
            </w:r>
          </w:p>
        </w:tc>
      </w:tr>
    </w:tbl>
    <w:p>
      <w:pPr>
        <w:spacing w:after="80"/>
      </w:pPr>
    </w:p>
    <w:p>
      <w:pPr>
        <w:spacing w:before="0" w:after="80" w:line="300" w:lineRule="auto"/>
        <w:jc w:val="left"/>
      </w:pPr>
      <w:r>
        <w:rPr>
          <w:rFonts w:ascii="微软雅黑" w:hAnsi="微软雅黑" w:eastAsia="微软雅黑"/>
          <w:b w:val="0"/>
          <w:i w:val="0"/>
          <w:sz w:val="21"/>
        </w:rPr>
        <w:t>2.2 核心图谱设计：双人 5 图多模态输入消歧</w:t>
      </w:r>
    </w:p>
    <w:p>
      <w:pPr>
        <w:spacing w:before="0" w:after="80" w:line="300" w:lineRule="auto"/>
        <w:jc w:val="left"/>
      </w:pPr>
      <w:r>
        <w:rPr>
          <w:rFonts w:ascii="微软雅黑" w:hAnsi="微软雅黑" w:eastAsia="微软雅黑"/>
          <w:b w:val="0"/>
          <w:i w:val="0"/>
          <w:sz w:val="21"/>
        </w:rPr>
        <w:t>为了彻底打破双人肢体遮挡的黑盒，在 Hi4D 实验中创新性地设计了 5 图输入流水线：</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264"/>
        <w:gridCol w:w="3264"/>
        <w:gridCol w:w="3264"/>
      </w:tblGrid>
      <w:tr>
        <w:tc>
          <w:tcPr>
            <w:tcW w:type="dxa" w:w="1440"/>
            <w:shd w:fill="1E3A8A"/>
            <w:tcMar>
              <w:top w:w="120" w:type="dxa"/>
              <w:bottom w:w="120" w:type="dxa"/>
              <w:left w:w="140" w:type="dxa"/>
              <w:right w:w="140" w:type="dxa"/>
            </w:tcMar>
          </w:tcPr>
          <w:p>
            <w:pPr>
              <w:spacing w:before="0" w:after="0"/>
              <w:jc w:val="center"/>
            </w:pPr>
            <w:r>
              <w:rPr>
                <w:rFonts w:ascii="微软雅黑" w:hAnsi="微软雅黑"/>
                <w:b/>
                <w:color w:val="FFFFFF"/>
                <w:sz w:val="19"/>
              </w:rPr>
              <w:t>图像编号</w:t>
            </w:r>
          </w:p>
        </w:tc>
        <w:tc>
          <w:tcPr>
            <w:tcW w:type="dxa" w:w="4608"/>
            <w:shd w:fill="1E3A8A"/>
            <w:tcMar>
              <w:top w:w="120" w:type="dxa"/>
              <w:bottom w:w="120" w:type="dxa"/>
              <w:left w:w="140" w:type="dxa"/>
              <w:right w:w="140" w:type="dxa"/>
            </w:tcMar>
          </w:tcPr>
          <w:p>
            <w:pPr>
              <w:spacing w:before="0" w:after="0"/>
              <w:jc w:val="center"/>
            </w:pPr>
            <w:r>
              <w:rPr>
                <w:rFonts w:ascii="微软雅黑" w:hAnsi="微软雅黑"/>
                <w:b/>
                <w:color w:val="FFFFFF"/>
                <w:sz w:val="19"/>
              </w:rPr>
              <w:t>多模态输入角色 (PE-I2I 提取端)</w:t>
            </w:r>
          </w:p>
        </w:tc>
        <w:tc>
          <w:tcPr>
            <w:tcW w:type="dxa" w:w="4032"/>
            <w:shd w:fill="1E3A8A"/>
            <w:tcMar>
              <w:top w:w="120" w:type="dxa"/>
              <w:bottom w:w="120" w:type="dxa"/>
              <w:left w:w="140" w:type="dxa"/>
              <w:right w:w="140" w:type="dxa"/>
            </w:tcMar>
          </w:tcPr>
          <w:p>
            <w:pPr>
              <w:spacing w:before="0" w:after="0"/>
              <w:jc w:val="center"/>
            </w:pPr>
            <w:r>
              <w:rPr>
                <w:rFonts w:ascii="微软雅黑" w:hAnsi="微软雅黑"/>
                <w:b/>
                <w:color w:val="FFFFFF"/>
                <w:sz w:val="19"/>
              </w:rPr>
              <w:t>下游 Qwen 图像生成端对应契约</w:t>
            </w:r>
          </w:p>
        </w:tc>
      </w:tr>
      <w:tr>
        <w:tc>
          <w:tcPr>
            <w:tcW w:type="dxa" w:w="1440"/>
            <w:shd w:fill="FFFFFF"/>
            <w:tcMar>
              <w:top w:w="90" w:type="dxa"/>
              <w:bottom w:w="90" w:type="dxa"/>
              <w:left w:w="120" w:type="dxa"/>
              <w:right w:w="120" w:type="dxa"/>
            </w:tcMar>
          </w:tcPr>
          <w:p>
            <w:pPr>
              <w:spacing w:before="0" w:after="0"/>
              <w:jc w:val="left"/>
            </w:pPr>
            <w:r>
              <w:rPr>
                <w:rFonts w:ascii="微软雅黑" w:hAnsi="微软雅黑"/>
                <w:sz w:val="18"/>
              </w:rPr>
              <w:t>&lt;image1&gt;</w:t>
            </w:r>
          </w:p>
        </w:tc>
        <w:tc>
          <w:tcPr>
            <w:tcW w:type="dxa" w:w="4608"/>
            <w:shd w:fill="FFFFFF"/>
            <w:tcMar>
              <w:top w:w="90" w:type="dxa"/>
              <w:bottom w:w="90" w:type="dxa"/>
              <w:left w:w="120" w:type="dxa"/>
              <w:right w:w="120" w:type="dxa"/>
            </w:tcMar>
          </w:tcPr>
          <w:p>
            <w:pPr>
              <w:spacing w:before="0" w:after="0"/>
              <w:jc w:val="center"/>
            </w:pPr>
            <w:r>
              <w:rPr>
                <w:rFonts w:ascii="微软雅黑" w:hAnsi="微软雅黑"/>
                <w:sz w:val="18"/>
              </w:rPr>
              <w:t>源图 A：包含两个人的原貌、身份、服装、鞋袜、影棚环境</w:t>
            </w:r>
          </w:p>
        </w:tc>
        <w:tc>
          <w:tcPr>
            <w:tcW w:type="dxa" w:w="4032"/>
            <w:shd w:fill="EFF6FF"/>
            <w:tcMar>
              <w:top w:w="90" w:type="dxa"/>
              <w:bottom w:w="90" w:type="dxa"/>
              <w:left w:w="120" w:type="dxa"/>
              <w:right w:w="120" w:type="dxa"/>
            </w:tcMar>
          </w:tcPr>
          <w:p>
            <w:pPr>
              <w:spacing w:before="0" w:after="0"/>
              <w:jc w:val="center"/>
            </w:pPr>
            <w:r>
              <w:rPr>
                <w:rFonts w:ascii="微软雅黑" w:hAnsi="微软雅黑"/>
                <w:b/>
                <w:color w:val="1D4ED8"/>
                <w:sz w:val="18"/>
              </w:rPr>
              <w:t>条件图 1 (源图 A)：提供面容、服装与背景底板</w:t>
            </w:r>
          </w:p>
        </w:tc>
      </w:tr>
      <w:tr>
        <w:tc>
          <w:tcPr>
            <w:tcW w:type="dxa" w:w="1440"/>
            <w:shd w:fill="F8FAFC"/>
            <w:tcMar>
              <w:top w:w="90" w:type="dxa"/>
              <w:bottom w:w="90" w:type="dxa"/>
              <w:left w:w="120" w:type="dxa"/>
              <w:right w:w="120" w:type="dxa"/>
            </w:tcMar>
          </w:tcPr>
          <w:p>
            <w:pPr>
              <w:spacing w:before="0" w:after="0"/>
              <w:jc w:val="left"/>
            </w:pPr>
            <w:r>
              <w:rPr>
                <w:rFonts w:ascii="微软雅黑" w:hAnsi="微软雅黑"/>
                <w:sz w:val="18"/>
              </w:rPr>
              <w:t>&lt;image2&gt;</w:t>
            </w:r>
          </w:p>
        </w:tc>
        <w:tc>
          <w:tcPr>
            <w:tcW w:type="dxa" w:w="4608"/>
            <w:shd w:fill="F8FAFC"/>
            <w:tcMar>
              <w:top w:w="90" w:type="dxa"/>
              <w:bottom w:w="90" w:type="dxa"/>
              <w:left w:w="120" w:type="dxa"/>
              <w:right w:w="120" w:type="dxa"/>
            </w:tcMar>
          </w:tcPr>
          <w:p>
            <w:pPr>
              <w:spacing w:before="0" w:after="0"/>
              <w:jc w:val="center"/>
            </w:pPr>
            <w:r>
              <w:rPr>
                <w:rFonts w:ascii="微软雅黑" w:hAnsi="微软雅黑"/>
                <w:sz w:val="18"/>
              </w:rPr>
              <w:t>目标 B 双人总骨架：提供宏观相对距离、全局姿态交互拓扑</w:t>
            </w:r>
          </w:p>
        </w:tc>
        <w:tc>
          <w:tcPr>
            <w:tcW w:type="dxa" w:w="4032"/>
            <w:shd w:fill="EFF6FF"/>
            <w:tcMar>
              <w:top w:w="90" w:type="dxa"/>
              <w:bottom w:w="90" w:type="dxa"/>
              <w:left w:w="120" w:type="dxa"/>
              <w:right w:w="120" w:type="dxa"/>
            </w:tcMar>
          </w:tcPr>
          <w:p>
            <w:pPr>
              <w:spacing w:before="0" w:after="0"/>
              <w:jc w:val="center"/>
            </w:pPr>
            <w:r>
              <w:rPr>
                <w:rFonts w:ascii="微软雅黑" w:hAnsi="微软雅黑"/>
                <w:b/>
                <w:color w:val="1D4ED8"/>
                <w:sz w:val="18"/>
              </w:rPr>
              <w:t>条件图 2 (双人总骨架)：提供全局交互与间距约束</w:t>
            </w:r>
          </w:p>
        </w:tc>
      </w:tr>
      <w:tr>
        <w:tc>
          <w:tcPr>
            <w:tcW w:type="dxa" w:w="1440"/>
            <w:shd w:fill="FFFFFF"/>
            <w:tcMar>
              <w:top w:w="90" w:type="dxa"/>
              <w:bottom w:w="90" w:type="dxa"/>
              <w:left w:w="120" w:type="dxa"/>
              <w:right w:w="120" w:type="dxa"/>
            </w:tcMar>
          </w:tcPr>
          <w:p>
            <w:pPr>
              <w:spacing w:before="0" w:after="0"/>
              <w:jc w:val="left"/>
            </w:pPr>
            <w:r>
              <w:rPr>
                <w:rFonts w:ascii="微软雅黑" w:hAnsi="微软雅黑"/>
                <w:sz w:val="18"/>
              </w:rPr>
              <w:t>&lt;image3&gt;</w:t>
            </w:r>
          </w:p>
        </w:tc>
        <w:tc>
          <w:tcPr>
            <w:tcW w:type="dxa" w:w="4608"/>
            <w:shd w:fill="FFFFFF"/>
            <w:tcMar>
              <w:top w:w="90" w:type="dxa"/>
              <w:bottom w:w="90" w:type="dxa"/>
              <w:left w:w="120" w:type="dxa"/>
              <w:right w:w="120" w:type="dxa"/>
            </w:tcMar>
          </w:tcPr>
          <w:p>
            <w:pPr>
              <w:spacing w:before="0" w:after="0"/>
              <w:jc w:val="center"/>
            </w:pPr>
            <w:r>
              <w:rPr>
                <w:rFonts w:ascii="微软雅黑" w:hAnsi="微软雅黑"/>
                <w:sz w:val="18"/>
              </w:rPr>
              <w:t>目标 B 人物 1 独立骨架：左侧人专属骨架，解耦手臂与腿部关节</w:t>
            </w:r>
          </w:p>
        </w:tc>
        <w:tc>
          <w:tcPr>
            <w:tcW w:type="dxa" w:w="4032"/>
            <w:shd w:fill="EFF6FF"/>
            <w:tcMar>
              <w:top w:w="90" w:type="dxa"/>
              <w:bottom w:w="90" w:type="dxa"/>
              <w:left w:w="120" w:type="dxa"/>
              <w:right w:w="120" w:type="dxa"/>
            </w:tcMar>
          </w:tcPr>
          <w:p>
            <w:pPr>
              <w:spacing w:before="0" w:after="0"/>
              <w:jc w:val="center"/>
            </w:pPr>
            <w:r>
              <w:rPr>
                <w:rFonts w:ascii="微软雅黑" w:hAnsi="微软雅黑"/>
                <w:b/>
                <w:color w:val="1D4ED8"/>
                <w:sz w:val="18"/>
              </w:rPr>
              <w:t>条件图 3 (人物 1 独立骨架)：提供左侧人关节精细定位</w:t>
            </w:r>
          </w:p>
        </w:tc>
      </w:tr>
      <w:tr>
        <w:tc>
          <w:tcPr>
            <w:tcW w:type="dxa" w:w="1440"/>
            <w:shd w:fill="F8FAFC"/>
            <w:tcMar>
              <w:top w:w="90" w:type="dxa"/>
              <w:bottom w:w="90" w:type="dxa"/>
              <w:left w:w="120" w:type="dxa"/>
              <w:right w:w="120" w:type="dxa"/>
            </w:tcMar>
          </w:tcPr>
          <w:p>
            <w:pPr>
              <w:spacing w:before="0" w:after="0"/>
              <w:jc w:val="left"/>
            </w:pPr>
            <w:r>
              <w:rPr>
                <w:rFonts w:ascii="微软雅黑" w:hAnsi="微软雅黑"/>
                <w:sz w:val="18"/>
              </w:rPr>
              <w:t>&lt;image4&gt;</w:t>
            </w:r>
          </w:p>
        </w:tc>
        <w:tc>
          <w:tcPr>
            <w:tcW w:type="dxa" w:w="4608"/>
            <w:shd w:fill="F8FAFC"/>
            <w:tcMar>
              <w:top w:w="90" w:type="dxa"/>
              <w:bottom w:w="90" w:type="dxa"/>
              <w:left w:w="120" w:type="dxa"/>
              <w:right w:w="120" w:type="dxa"/>
            </w:tcMar>
          </w:tcPr>
          <w:p>
            <w:pPr>
              <w:spacing w:before="0" w:after="0"/>
              <w:jc w:val="center"/>
            </w:pPr>
            <w:r>
              <w:rPr>
                <w:rFonts w:ascii="微软雅黑" w:hAnsi="微软雅黑"/>
                <w:sz w:val="18"/>
              </w:rPr>
              <w:t>目标 B 人物 2 独立骨架：右侧人专属骨架，解耦手臂与腿部关节</w:t>
            </w:r>
          </w:p>
        </w:tc>
        <w:tc>
          <w:tcPr>
            <w:tcW w:type="dxa" w:w="4032"/>
            <w:shd w:fill="EFF6FF"/>
            <w:tcMar>
              <w:top w:w="90" w:type="dxa"/>
              <w:bottom w:w="90" w:type="dxa"/>
              <w:left w:w="120" w:type="dxa"/>
              <w:right w:w="120" w:type="dxa"/>
            </w:tcMar>
          </w:tcPr>
          <w:p>
            <w:pPr>
              <w:spacing w:before="0" w:after="0"/>
              <w:jc w:val="center"/>
            </w:pPr>
            <w:r>
              <w:rPr>
                <w:rFonts w:ascii="微软雅黑" w:hAnsi="微软雅黑"/>
                <w:b/>
                <w:color w:val="1D4ED8"/>
                <w:sz w:val="18"/>
              </w:rPr>
              <w:t>条件图 4 (人物 2 独立骨架)：提供右侧人关节精细定位</w:t>
            </w:r>
          </w:p>
        </w:tc>
      </w:tr>
      <w:tr>
        <w:tc>
          <w:tcPr>
            <w:tcW w:type="dxa" w:w="1440"/>
            <w:shd w:fill="FFFFFF"/>
            <w:tcMar>
              <w:top w:w="90" w:type="dxa"/>
              <w:bottom w:w="90" w:type="dxa"/>
              <w:left w:w="120" w:type="dxa"/>
              <w:right w:w="120" w:type="dxa"/>
            </w:tcMar>
          </w:tcPr>
          <w:p>
            <w:pPr>
              <w:spacing w:before="0" w:after="0"/>
              <w:jc w:val="left"/>
            </w:pPr>
            <w:r>
              <w:rPr>
                <w:rFonts w:ascii="微软雅黑" w:hAnsi="微软雅黑"/>
                <w:sz w:val="18"/>
              </w:rPr>
              <w:t>&lt;image5&gt;</w:t>
            </w:r>
          </w:p>
        </w:tc>
        <w:tc>
          <w:tcPr>
            <w:tcW w:type="dxa" w:w="4608"/>
            <w:shd w:fill="FFFFFF"/>
            <w:tcMar>
              <w:top w:w="90" w:type="dxa"/>
              <w:bottom w:w="90" w:type="dxa"/>
              <w:left w:w="120" w:type="dxa"/>
              <w:right w:w="120" w:type="dxa"/>
            </w:tcMar>
          </w:tcPr>
          <w:p>
            <w:pPr>
              <w:spacing w:before="0" w:after="0"/>
              <w:jc w:val="center"/>
            </w:pPr>
            <w:r>
              <w:rPr>
                <w:rFonts w:ascii="微软雅黑" w:hAnsi="微软雅黑"/>
                <w:sz w:val="18"/>
              </w:rPr>
              <w:t>目标 B 真值照片 (GT)：仅供 VLM 理解真实接触点、视线与拓扑</w:t>
            </w:r>
          </w:p>
        </w:tc>
        <w:tc>
          <w:tcPr>
            <w:tcW w:type="dxa" w:w="4032"/>
            <w:shd w:fill="EFF6FF"/>
            <w:tcMar>
              <w:top w:w="90" w:type="dxa"/>
              <w:bottom w:w="90" w:type="dxa"/>
              <w:left w:w="120" w:type="dxa"/>
              <w:right w:w="120" w:type="dxa"/>
            </w:tcMar>
          </w:tcPr>
          <w:p>
            <w:pPr>
              <w:spacing w:before="0" w:after="0"/>
              <w:jc w:val="center"/>
            </w:pPr>
            <w:r>
              <w:rPr>
                <w:rFonts w:ascii="微软雅黑" w:hAnsi="微软雅黑"/>
                <w:b/>
                <w:color w:val="1D4ED8"/>
                <w:sz w:val="18"/>
              </w:rPr>
              <w:t>【绝不输入！】作为扩散模型训练时的监督 Target (Loss)，推理无此图</w:t>
            </w:r>
          </w:p>
        </w:tc>
      </w:tr>
    </w:tbl>
    <w:p>
      <w:pPr>
        <w:spacing w:before="0" w:after="80" w:line="300" w:lineRule="auto"/>
        <w:jc w:val="left"/>
      </w:pPr>
      <w:r>
        <w:rPr>
          <w:rFonts w:ascii="微软雅黑" w:hAnsi="微软雅黑" w:eastAsia="微软雅黑"/>
          <w:b w:val="0"/>
          <w:i w:val="0"/>
          <w:sz w:val="21"/>
        </w:rPr>
        <w:t>2.3 下游 Qwen 契约无缝对齐（图序完全同构）</w:t>
      </w:r>
    </w:p>
    <w:p>
      <w:pPr>
        <w:spacing w:before="0" w:after="80" w:line="300" w:lineRule="auto"/>
        <w:jc w:val="left"/>
      </w:pPr>
      <w:r>
        <w:rPr>
          <w:rFonts w:ascii="微软雅黑" w:hAnsi="微软雅黑" w:eastAsia="微软雅黑"/>
          <w:b w:val="0"/>
          <w:i w:val="0"/>
          <w:sz w:val="21"/>
        </w:rPr>
        <w:t>如上表所示，下游图像生成基座 Qwen 接收的条件图为 4 张（&lt;image1&gt; 到 &lt;image4&gt;）。PE 提取时虽然看了第 5 张图（GT 真值），但提示词在编译后严格将所有 &lt;image5&gt; 及目标图字眼净空过滤。因此，下游 Qwen 看到的文本与图像输入序号 100% 一一对应，彻底杜绝了模型因为找不到第 5 张图而出现 Token 错乱或幻觉的问题。</w:t>
      </w:r>
    </w:p>
    <w:p>
      <w:pPr>
        <w:spacing w:before="0" w:after="80" w:line="300" w:lineRule="auto"/>
        <w:jc w:val="left"/>
      </w:pPr>
      <w:r>
        <w:rPr>
          <w:rFonts w:ascii="微软雅黑" w:hAnsi="微软雅黑" w:eastAsia="微软雅黑"/>
          <w:b w:val="0"/>
          <w:i w:val="0"/>
          <w:sz w:val="21"/>
        </w:rPr>
        <w:t>2.4 高并发多进程 Worker 架构</w:t>
      </w:r>
    </w:p>
    <w:p>
      <w:pPr>
        <w:spacing w:before="0" w:after="80" w:line="300" w:lineRule="auto"/>
        <w:jc w:val="left"/>
      </w:pPr>
      <w:r>
        <w:rPr>
          <w:rFonts w:ascii="微软雅黑" w:hAnsi="微软雅黑" w:eastAsia="微软雅黑"/>
          <w:b w:val="0"/>
          <w:i w:val="0"/>
          <w:sz w:val="21"/>
        </w:rPr>
        <w:t>为了兼顾稳定性和最大化吞吐，系统采用 5 个独立的 llama-server 进程，分别绑定端口 18791 至 18795，每个 Worker 独立分配 CUDA 流与独立的 KV Cache 空间。5 路 Worker 合计仅占用显存 42 GiB（显存余量高达 41 GiB），全程无任何锁竞争与 OOM 风险。</w:t>
      </w:r>
    </w:p>
    <w:p>
      <w:pPr>
        <w:pStyle w:val="Heading1"/>
        <w:keepNext/>
        <w:spacing w:before="360" w:after="120"/>
      </w:pPr>
      <w:r>
        <w:rPr>
          <w:rFonts w:ascii="微软雅黑" w:hAnsi="微软雅黑" w:eastAsia="微软雅黑"/>
          <w:b/>
          <w:color w:val="1E3A8A"/>
          <w:sz w:val="32"/>
        </w:rPr>
        <w:t>三、生成速率、吞吐与资源消耗实测</w:t>
      </w:r>
    </w:p>
    <w:p>
      <w:pPr>
        <w:spacing w:before="0" w:after="80" w:line="300" w:lineRule="auto"/>
        <w:jc w:val="left"/>
      </w:pPr>
      <w:r>
        <w:rPr>
          <w:rFonts w:ascii="微软雅黑" w:hAnsi="微软雅黑" w:eastAsia="微软雅黑"/>
          <w:b w:val="0"/>
          <w:i w:val="0"/>
          <w:sz w:val="21"/>
        </w:rPr>
        <w:t>在 RTX 6000D 85GB 单卡算力 100% 独占环境下，我们针对 Hi4D 复杂双人拥抱动作（hug00，输入 5 张 512×512 图像）进行了严格的单条极限测速对比，并在全量刷库时监测了并发吞吐指标：</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448"/>
        <w:gridCol w:w="2448"/>
        <w:gridCol w:w="2448"/>
        <w:gridCol w:w="2448"/>
      </w:tblGrid>
      <w:tr>
        <w:tc>
          <w:tcPr>
            <w:tcW w:type="dxa" w:w="3168"/>
            <w:shd w:fill="1E3A8A"/>
            <w:tcMar>
              <w:top w:w="120" w:type="dxa"/>
              <w:bottom w:w="120" w:type="dxa"/>
              <w:left w:w="140" w:type="dxa"/>
              <w:right w:w="140" w:type="dxa"/>
            </w:tcMar>
          </w:tcPr>
          <w:p>
            <w:pPr>
              <w:spacing w:before="0" w:after="0"/>
              <w:jc w:val="center"/>
            </w:pPr>
            <w:r>
              <w:rPr>
                <w:rFonts w:ascii="微软雅黑" w:hAnsi="微软雅黑"/>
                <w:b/>
                <w:color w:val="FFFFFF"/>
                <w:sz w:val="19"/>
              </w:rPr>
              <w:t>评测性能指标</w:t>
            </w:r>
          </w:p>
        </w:tc>
        <w:tc>
          <w:tcPr>
            <w:tcW w:type="dxa" w:w="2304"/>
            <w:shd w:fill="1E3A8A"/>
            <w:tcMar>
              <w:top w:w="120" w:type="dxa"/>
              <w:bottom w:w="120" w:type="dxa"/>
              <w:left w:w="140" w:type="dxa"/>
              <w:right w:w="140" w:type="dxa"/>
            </w:tcMar>
          </w:tcPr>
          <w:p>
            <w:pPr>
              <w:spacing w:before="0" w:after="0"/>
              <w:jc w:val="center"/>
            </w:pPr>
            <w:r>
              <w:rPr>
                <w:rFonts w:ascii="微软雅黑" w:hAnsi="微软雅黑"/>
                <w:b/>
                <w:color w:val="FFFFFF"/>
                <w:sz w:val="19"/>
              </w:rPr>
              <w:t>官方原版 BF16 (PyTorch)</w:t>
            </w:r>
          </w:p>
        </w:tc>
        <w:tc>
          <w:tcPr>
            <w:tcW w:type="dxa" w:w="2304"/>
            <w:shd w:fill="1E3A8A"/>
            <w:tcMar>
              <w:top w:w="120" w:type="dxa"/>
              <w:bottom w:w="120" w:type="dxa"/>
              <w:left w:w="140" w:type="dxa"/>
              <w:right w:w="140" w:type="dxa"/>
            </w:tcMar>
          </w:tcPr>
          <w:p>
            <w:pPr>
              <w:spacing w:before="0" w:after="0"/>
              <w:jc w:val="center"/>
            </w:pPr>
            <w:r>
              <w:rPr>
                <w:rFonts w:ascii="微软雅黑" w:hAnsi="微软雅黑"/>
                <w:b/>
                <w:color w:val="FFFFFF"/>
                <w:sz w:val="19"/>
              </w:rPr>
              <w:t>量化版 Q4_K_M (MTP 投机)</w:t>
            </w:r>
          </w:p>
        </w:tc>
        <w:tc>
          <w:tcPr>
            <w:tcW w:type="dxa" w:w="2592"/>
            <w:shd w:fill="1E3A8A"/>
            <w:tcMar>
              <w:top w:w="120" w:type="dxa"/>
              <w:bottom w:w="120" w:type="dxa"/>
              <w:left w:w="140" w:type="dxa"/>
              <w:right w:w="140" w:type="dxa"/>
            </w:tcMar>
          </w:tcPr>
          <w:p>
            <w:pPr>
              <w:spacing w:before="0" w:after="0"/>
              <w:jc w:val="center"/>
            </w:pPr>
            <w:r>
              <w:rPr>
                <w:rFonts w:ascii="微软雅黑" w:hAnsi="微软雅黑"/>
                <w:b/>
                <w:color w:val="FFFFFF"/>
                <w:sz w:val="19"/>
              </w:rPr>
              <w:t>性能提升 / 优化收益</w:t>
            </w:r>
          </w:p>
        </w:tc>
      </w:tr>
      <w:tr>
        <w:tc>
          <w:tcPr>
            <w:tcW w:type="dxa" w:w="3168"/>
            <w:shd w:fill="FFFFFF"/>
            <w:tcMar>
              <w:top w:w="90" w:type="dxa"/>
              <w:bottom w:w="90" w:type="dxa"/>
              <w:left w:w="120" w:type="dxa"/>
              <w:right w:w="120" w:type="dxa"/>
            </w:tcMar>
          </w:tcPr>
          <w:p>
            <w:pPr>
              <w:spacing w:before="0" w:after="0"/>
              <w:jc w:val="left"/>
            </w:pPr>
            <w:r>
              <w:rPr>
                <w:rFonts w:ascii="微软雅黑" w:hAnsi="微软雅黑"/>
                <w:sz w:val="18"/>
              </w:rPr>
              <w:t>写一个提示词最少耗时 (Min Latency)</w:t>
            </w:r>
          </w:p>
        </w:tc>
        <w:tc>
          <w:tcPr>
            <w:tcW w:type="dxa" w:w="2304"/>
            <w:shd w:fill="FFFFFF"/>
            <w:tcMar>
              <w:top w:w="90" w:type="dxa"/>
              <w:bottom w:w="90" w:type="dxa"/>
              <w:left w:w="120" w:type="dxa"/>
              <w:right w:w="120" w:type="dxa"/>
            </w:tcMar>
          </w:tcPr>
          <w:p>
            <w:pPr>
              <w:spacing w:before="0" w:after="0"/>
              <w:jc w:val="center"/>
            </w:pPr>
            <w:r>
              <w:rPr>
                <w:rFonts w:ascii="微软雅黑" w:hAnsi="微软雅黑"/>
                <w:sz w:val="18"/>
              </w:rPr>
              <w:t>14.80 秒</w:t>
            </w:r>
          </w:p>
        </w:tc>
        <w:tc>
          <w:tcPr>
            <w:tcW w:type="dxa" w:w="2304"/>
            <w:shd w:fill="EFF6FF"/>
            <w:tcMar>
              <w:top w:w="90" w:type="dxa"/>
              <w:bottom w:w="90" w:type="dxa"/>
              <w:left w:w="120" w:type="dxa"/>
              <w:right w:w="120" w:type="dxa"/>
            </w:tcMar>
          </w:tcPr>
          <w:p>
            <w:pPr>
              <w:spacing w:before="0" w:after="0"/>
              <w:jc w:val="center"/>
            </w:pPr>
            <w:r>
              <w:rPr>
                <w:rFonts w:ascii="微软雅黑" w:hAnsi="微软雅黑"/>
                <w:b/>
                <w:color w:val="1D4ED8"/>
                <w:sz w:val="18"/>
              </w:rPr>
              <w:t>2.33 秒</w:t>
            </w:r>
          </w:p>
        </w:tc>
        <w:tc>
          <w:tcPr>
            <w:tcW w:type="dxa" w:w="2592"/>
            <w:shd w:fill="FFFFFF"/>
            <w:tcMar>
              <w:top w:w="90" w:type="dxa"/>
              <w:bottom w:w="90" w:type="dxa"/>
              <w:left w:w="120" w:type="dxa"/>
              <w:right w:w="120" w:type="dxa"/>
            </w:tcMar>
          </w:tcPr>
          <w:p>
            <w:pPr>
              <w:spacing w:before="0" w:after="0"/>
              <w:jc w:val="center"/>
            </w:pPr>
            <w:r>
              <w:rPr>
                <w:rFonts w:ascii="微软雅黑" w:hAnsi="微软雅黑"/>
                <w:sz w:val="18"/>
              </w:rPr>
              <w:t>提速 6.35 倍 (-84.3% 耗时)</w:t>
            </w:r>
          </w:p>
        </w:tc>
      </w:tr>
      <w:tr>
        <w:tc>
          <w:tcPr>
            <w:tcW w:type="dxa" w:w="3168"/>
            <w:shd w:fill="F8FAFC"/>
            <w:tcMar>
              <w:top w:w="90" w:type="dxa"/>
              <w:bottom w:w="90" w:type="dxa"/>
              <w:left w:w="120" w:type="dxa"/>
              <w:right w:w="120" w:type="dxa"/>
            </w:tcMar>
          </w:tcPr>
          <w:p>
            <w:pPr>
              <w:spacing w:before="0" w:after="0"/>
              <w:jc w:val="left"/>
            </w:pPr>
            <w:r>
              <w:rPr>
                <w:rFonts w:ascii="微软雅黑" w:hAnsi="微软雅黑"/>
                <w:sz w:val="18"/>
              </w:rPr>
              <w:t>3 轮实测平均耗时 (Avg Latency)</w:t>
            </w:r>
          </w:p>
        </w:tc>
        <w:tc>
          <w:tcPr>
            <w:tcW w:type="dxa" w:w="2304"/>
            <w:shd w:fill="F8FAFC"/>
            <w:tcMar>
              <w:top w:w="90" w:type="dxa"/>
              <w:bottom w:w="90" w:type="dxa"/>
              <w:left w:w="120" w:type="dxa"/>
              <w:right w:w="120" w:type="dxa"/>
            </w:tcMar>
          </w:tcPr>
          <w:p>
            <w:pPr>
              <w:spacing w:before="0" w:after="0"/>
              <w:jc w:val="center"/>
            </w:pPr>
            <w:r>
              <w:rPr>
                <w:rFonts w:ascii="微软雅黑" w:hAnsi="微软雅黑"/>
                <w:sz w:val="18"/>
              </w:rPr>
              <w:t>15.26 秒</w:t>
            </w:r>
          </w:p>
        </w:tc>
        <w:tc>
          <w:tcPr>
            <w:tcW w:type="dxa" w:w="2304"/>
            <w:shd w:fill="EFF6FF"/>
            <w:tcMar>
              <w:top w:w="90" w:type="dxa"/>
              <w:bottom w:w="90" w:type="dxa"/>
              <w:left w:w="120" w:type="dxa"/>
              <w:right w:w="120" w:type="dxa"/>
            </w:tcMar>
          </w:tcPr>
          <w:p>
            <w:pPr>
              <w:spacing w:before="0" w:after="0"/>
              <w:jc w:val="center"/>
            </w:pPr>
            <w:r>
              <w:rPr>
                <w:rFonts w:ascii="微软雅黑" w:hAnsi="微软雅黑"/>
                <w:b/>
                <w:color w:val="1D4ED8"/>
                <w:sz w:val="18"/>
              </w:rPr>
              <w:t>2.34 秒</w:t>
            </w:r>
          </w:p>
        </w:tc>
        <w:tc>
          <w:tcPr>
            <w:tcW w:type="dxa" w:w="2592"/>
            <w:shd w:fill="F8FAFC"/>
            <w:tcMar>
              <w:top w:w="90" w:type="dxa"/>
              <w:bottom w:w="90" w:type="dxa"/>
              <w:left w:w="120" w:type="dxa"/>
              <w:right w:w="120" w:type="dxa"/>
            </w:tcMar>
          </w:tcPr>
          <w:p>
            <w:pPr>
              <w:spacing w:before="0" w:after="0"/>
              <w:jc w:val="center"/>
            </w:pPr>
            <w:r>
              <w:rPr>
                <w:rFonts w:ascii="微软雅黑" w:hAnsi="微软雅黑"/>
                <w:sz w:val="18"/>
              </w:rPr>
              <w:t>提速 6.52 倍</w:t>
            </w:r>
          </w:p>
        </w:tc>
      </w:tr>
      <w:tr>
        <w:tc>
          <w:tcPr>
            <w:tcW w:type="dxa" w:w="3168"/>
            <w:shd w:fill="FFFFFF"/>
            <w:tcMar>
              <w:top w:w="90" w:type="dxa"/>
              <w:bottom w:w="90" w:type="dxa"/>
              <w:left w:w="120" w:type="dxa"/>
              <w:right w:w="120" w:type="dxa"/>
            </w:tcMar>
          </w:tcPr>
          <w:p>
            <w:pPr>
              <w:spacing w:before="0" w:after="0"/>
              <w:jc w:val="left"/>
            </w:pPr>
            <w:r>
              <w:rPr>
                <w:rFonts w:ascii="微软雅黑" w:hAnsi="微软雅黑"/>
                <w:sz w:val="18"/>
              </w:rPr>
              <w:t>平均生成吞吐速度 (Throughput)</w:t>
            </w:r>
          </w:p>
        </w:tc>
        <w:tc>
          <w:tcPr>
            <w:tcW w:type="dxa" w:w="2304"/>
            <w:shd w:fill="FFFFFF"/>
            <w:tcMar>
              <w:top w:w="90" w:type="dxa"/>
              <w:bottom w:w="90" w:type="dxa"/>
              <w:left w:w="120" w:type="dxa"/>
              <w:right w:w="120" w:type="dxa"/>
            </w:tcMar>
          </w:tcPr>
          <w:p>
            <w:pPr>
              <w:spacing w:before="0" w:after="0"/>
              <w:jc w:val="center"/>
            </w:pPr>
            <w:r>
              <w:rPr>
                <w:rFonts w:ascii="微软雅黑" w:hAnsi="微软雅黑"/>
                <w:sz w:val="18"/>
              </w:rPr>
              <w:t>30.6 tok/s</w:t>
            </w:r>
          </w:p>
        </w:tc>
        <w:tc>
          <w:tcPr>
            <w:tcW w:type="dxa" w:w="2304"/>
            <w:shd w:fill="EFF6FF"/>
            <w:tcMar>
              <w:top w:w="90" w:type="dxa"/>
              <w:bottom w:w="90" w:type="dxa"/>
              <w:left w:w="120" w:type="dxa"/>
              <w:right w:w="120" w:type="dxa"/>
            </w:tcMar>
          </w:tcPr>
          <w:p>
            <w:pPr>
              <w:spacing w:before="0" w:after="0"/>
              <w:jc w:val="center"/>
            </w:pPr>
            <w:r>
              <w:rPr>
                <w:rFonts w:ascii="微软雅黑" w:hAnsi="微软雅黑"/>
                <w:b/>
                <w:color w:val="1D4ED8"/>
                <w:sz w:val="18"/>
              </w:rPr>
              <w:t>187.0 tok/s</w:t>
            </w:r>
          </w:p>
        </w:tc>
        <w:tc>
          <w:tcPr>
            <w:tcW w:type="dxa" w:w="2592"/>
            <w:shd w:fill="FFFFFF"/>
            <w:tcMar>
              <w:top w:w="90" w:type="dxa"/>
              <w:bottom w:w="90" w:type="dxa"/>
              <w:left w:w="120" w:type="dxa"/>
              <w:right w:w="120" w:type="dxa"/>
            </w:tcMar>
          </w:tcPr>
          <w:p>
            <w:pPr>
              <w:spacing w:before="0" w:after="0"/>
              <w:jc w:val="center"/>
            </w:pPr>
            <w:r>
              <w:rPr>
                <w:rFonts w:ascii="微软雅黑" w:hAnsi="微软雅黑"/>
                <w:sz w:val="18"/>
              </w:rPr>
              <w:t>文本解码速度提升 6.11 倍</w:t>
            </w:r>
          </w:p>
        </w:tc>
      </w:tr>
      <w:tr>
        <w:tc>
          <w:tcPr>
            <w:tcW w:type="dxa" w:w="3168"/>
            <w:shd w:fill="F8FAFC"/>
            <w:tcMar>
              <w:top w:w="90" w:type="dxa"/>
              <w:bottom w:w="90" w:type="dxa"/>
              <w:left w:w="120" w:type="dxa"/>
              <w:right w:w="120" w:type="dxa"/>
            </w:tcMar>
          </w:tcPr>
          <w:p>
            <w:pPr>
              <w:spacing w:before="0" w:after="0"/>
              <w:jc w:val="left"/>
            </w:pPr>
            <w:r>
              <w:rPr>
                <w:rFonts w:ascii="微软雅黑" w:hAnsi="微软雅黑"/>
                <w:sz w:val="18"/>
              </w:rPr>
              <w:t>显存峰值占用 (Peak VRAM)</w:t>
            </w:r>
          </w:p>
        </w:tc>
        <w:tc>
          <w:tcPr>
            <w:tcW w:type="dxa" w:w="2304"/>
            <w:shd w:fill="F8FAFC"/>
            <w:tcMar>
              <w:top w:w="90" w:type="dxa"/>
              <w:bottom w:w="90" w:type="dxa"/>
              <w:left w:w="120" w:type="dxa"/>
              <w:right w:w="120" w:type="dxa"/>
            </w:tcMar>
          </w:tcPr>
          <w:p>
            <w:pPr>
              <w:spacing w:before="0" w:after="0"/>
              <w:jc w:val="center"/>
            </w:pPr>
            <w:r>
              <w:rPr>
                <w:rFonts w:ascii="微软雅黑" w:hAnsi="微软雅黑"/>
                <w:sz w:val="18"/>
              </w:rPr>
              <w:t>19.31 GiB</w:t>
            </w:r>
          </w:p>
        </w:tc>
        <w:tc>
          <w:tcPr>
            <w:tcW w:type="dxa" w:w="2304"/>
            <w:shd w:fill="EFF6FF"/>
            <w:tcMar>
              <w:top w:w="90" w:type="dxa"/>
              <w:bottom w:w="90" w:type="dxa"/>
              <w:left w:w="120" w:type="dxa"/>
              <w:right w:w="120" w:type="dxa"/>
            </w:tcMar>
          </w:tcPr>
          <w:p>
            <w:pPr>
              <w:spacing w:before="0" w:after="0"/>
              <w:jc w:val="center"/>
            </w:pPr>
            <w:r>
              <w:rPr>
                <w:rFonts w:ascii="微软雅黑" w:hAnsi="微软雅黑"/>
                <w:b/>
                <w:color w:val="1D4ED8"/>
                <w:sz w:val="18"/>
              </w:rPr>
              <w:t>8.60 GiB</w:t>
            </w:r>
          </w:p>
        </w:tc>
        <w:tc>
          <w:tcPr>
            <w:tcW w:type="dxa" w:w="2592"/>
            <w:shd w:fill="F8FAFC"/>
            <w:tcMar>
              <w:top w:w="90" w:type="dxa"/>
              <w:bottom w:w="90" w:type="dxa"/>
              <w:left w:w="120" w:type="dxa"/>
              <w:right w:w="120" w:type="dxa"/>
            </w:tcMar>
          </w:tcPr>
          <w:p>
            <w:pPr>
              <w:spacing w:before="0" w:after="0"/>
              <w:jc w:val="center"/>
            </w:pPr>
            <w:r>
              <w:rPr>
                <w:rFonts w:ascii="微软雅黑" w:hAnsi="微软雅黑"/>
                <w:sz w:val="18"/>
              </w:rPr>
              <w:t>节省 10.71 GiB 显存 (-55.5%)</w:t>
            </w:r>
          </w:p>
        </w:tc>
      </w:tr>
      <w:tr>
        <w:tc>
          <w:tcPr>
            <w:tcW w:type="dxa" w:w="3168"/>
            <w:shd w:fill="FFFFFF"/>
            <w:tcMar>
              <w:top w:w="90" w:type="dxa"/>
              <w:bottom w:w="90" w:type="dxa"/>
              <w:left w:w="120" w:type="dxa"/>
              <w:right w:w="120" w:type="dxa"/>
            </w:tcMar>
          </w:tcPr>
          <w:p>
            <w:pPr>
              <w:spacing w:before="0" w:after="0"/>
              <w:jc w:val="left"/>
            </w:pPr>
            <w:r>
              <w:rPr>
                <w:rFonts w:ascii="微软雅黑" w:hAnsi="微软雅黑"/>
                <w:sz w:val="18"/>
              </w:rPr>
              <w:t>平均输出 Token 数</w:t>
            </w:r>
          </w:p>
        </w:tc>
        <w:tc>
          <w:tcPr>
            <w:tcW w:type="dxa" w:w="2304"/>
            <w:shd w:fill="FFFFFF"/>
            <w:tcMar>
              <w:top w:w="90" w:type="dxa"/>
              <w:bottom w:w="90" w:type="dxa"/>
              <w:left w:w="120" w:type="dxa"/>
              <w:right w:w="120" w:type="dxa"/>
            </w:tcMar>
          </w:tcPr>
          <w:p>
            <w:pPr>
              <w:spacing w:before="0" w:after="0"/>
              <w:jc w:val="center"/>
            </w:pPr>
            <w:r>
              <w:rPr>
                <w:rFonts w:ascii="微软雅黑" w:hAnsi="微软雅黑"/>
                <w:sz w:val="18"/>
              </w:rPr>
              <w:t>467.7 tokens</w:t>
            </w:r>
          </w:p>
        </w:tc>
        <w:tc>
          <w:tcPr>
            <w:tcW w:type="dxa" w:w="2304"/>
            <w:shd w:fill="EFF6FF"/>
            <w:tcMar>
              <w:top w:w="90" w:type="dxa"/>
              <w:bottom w:w="90" w:type="dxa"/>
              <w:left w:w="120" w:type="dxa"/>
              <w:right w:w="120" w:type="dxa"/>
            </w:tcMar>
          </w:tcPr>
          <w:p>
            <w:pPr>
              <w:spacing w:before="0" w:after="0"/>
              <w:jc w:val="center"/>
            </w:pPr>
            <w:r>
              <w:rPr>
                <w:rFonts w:ascii="微软雅黑" w:hAnsi="微软雅黑"/>
                <w:b/>
                <w:color w:val="1D4ED8"/>
                <w:sz w:val="18"/>
              </w:rPr>
              <w:t>438.0 tokens</w:t>
            </w:r>
          </w:p>
        </w:tc>
        <w:tc>
          <w:tcPr>
            <w:tcW w:type="dxa" w:w="2592"/>
            <w:shd w:fill="FFFFFF"/>
            <w:tcMar>
              <w:top w:w="90" w:type="dxa"/>
              <w:bottom w:w="90" w:type="dxa"/>
              <w:left w:w="120" w:type="dxa"/>
              <w:right w:w="120" w:type="dxa"/>
            </w:tcMar>
          </w:tcPr>
          <w:p>
            <w:pPr>
              <w:spacing w:before="0" w:after="0"/>
              <w:jc w:val="center"/>
            </w:pPr>
            <w:r>
              <w:rPr>
                <w:rFonts w:ascii="微软雅黑" w:hAnsi="微软雅黑"/>
                <w:sz w:val="18"/>
              </w:rPr>
              <w:t>词数均稳定在 300~350 词，细节完备</w:t>
            </w:r>
          </w:p>
        </w:tc>
      </w:tr>
      <w:tr>
        <w:tc>
          <w:tcPr>
            <w:tcW w:type="dxa" w:w="3168"/>
            <w:shd w:fill="F8FAFC"/>
            <w:tcMar>
              <w:top w:w="90" w:type="dxa"/>
              <w:bottom w:w="90" w:type="dxa"/>
              <w:left w:w="120" w:type="dxa"/>
              <w:right w:w="120" w:type="dxa"/>
            </w:tcMar>
          </w:tcPr>
          <w:p>
            <w:pPr>
              <w:spacing w:before="0" w:after="0"/>
              <w:jc w:val="left"/>
            </w:pPr>
            <w:r>
              <w:rPr>
                <w:rFonts w:ascii="微软雅黑" w:hAnsi="微软雅黑"/>
                <w:sz w:val="18"/>
              </w:rPr>
              <w:t>85GB 单卡并发上限</w:t>
            </w:r>
          </w:p>
        </w:tc>
        <w:tc>
          <w:tcPr>
            <w:tcW w:type="dxa" w:w="2304"/>
            <w:shd w:fill="F8FAFC"/>
            <w:tcMar>
              <w:top w:w="90" w:type="dxa"/>
              <w:bottom w:w="90" w:type="dxa"/>
              <w:left w:w="120" w:type="dxa"/>
              <w:right w:w="120" w:type="dxa"/>
            </w:tcMar>
          </w:tcPr>
          <w:p>
            <w:pPr>
              <w:spacing w:before="0" w:after="0"/>
              <w:jc w:val="center"/>
            </w:pPr>
            <w:r>
              <w:rPr>
                <w:rFonts w:ascii="微软雅黑" w:hAnsi="微软雅黑"/>
                <w:sz w:val="18"/>
              </w:rPr>
              <w:t>2 ~ 3 路并发</w:t>
            </w:r>
          </w:p>
        </w:tc>
        <w:tc>
          <w:tcPr>
            <w:tcW w:type="dxa" w:w="2304"/>
            <w:shd w:fill="EFF6FF"/>
            <w:tcMar>
              <w:top w:w="90" w:type="dxa"/>
              <w:bottom w:w="90" w:type="dxa"/>
              <w:left w:w="120" w:type="dxa"/>
              <w:right w:w="120" w:type="dxa"/>
            </w:tcMar>
          </w:tcPr>
          <w:p>
            <w:pPr>
              <w:spacing w:before="0" w:after="0"/>
              <w:jc w:val="center"/>
            </w:pPr>
            <w:r>
              <w:rPr>
                <w:rFonts w:ascii="微软雅黑" w:hAnsi="微软雅黑"/>
                <w:b/>
                <w:color w:val="1D4ED8"/>
                <w:sz w:val="18"/>
              </w:rPr>
              <w:t>8 ~ 9 路并发</w:t>
            </w:r>
          </w:p>
        </w:tc>
        <w:tc>
          <w:tcPr>
            <w:tcW w:type="dxa" w:w="2592"/>
            <w:shd w:fill="F8FAFC"/>
            <w:tcMar>
              <w:top w:w="90" w:type="dxa"/>
              <w:bottom w:w="90" w:type="dxa"/>
              <w:left w:w="120" w:type="dxa"/>
              <w:right w:w="120" w:type="dxa"/>
            </w:tcMar>
          </w:tcPr>
          <w:p>
            <w:pPr>
              <w:spacing w:before="0" w:after="0"/>
              <w:jc w:val="center"/>
            </w:pPr>
            <w:r>
              <w:rPr>
                <w:rFonts w:ascii="微软雅黑" w:hAnsi="微软雅黑"/>
                <w:sz w:val="18"/>
              </w:rPr>
              <w:t>多任务并发吞吐提升 3 倍以上</w:t>
            </w:r>
          </w:p>
        </w:tc>
      </w:tr>
    </w:tbl>
    <w:p>
      <w:pPr>
        <w:spacing w:before="0" w:after="80" w:line="300" w:lineRule="auto"/>
        <w:jc w:val="left"/>
      </w:pPr>
      <w:r>
        <w:rPr>
          <w:rFonts w:ascii="微软雅黑" w:hAnsi="微软雅黑" w:eastAsia="微软雅黑"/>
          <w:b w:val="0"/>
          <w:i w:val="0"/>
          <w:sz w:val="21"/>
        </w:rPr>
        <w:t>全量数据集生产效益测算：</w:t>
      </w:r>
    </w:p>
    <w:p>
      <w:pPr>
        <w:spacing w:before="0" w:after="80" w:line="300" w:lineRule="auto"/>
        <w:jc w:val="left"/>
      </w:pPr>
      <w:r>
        <w:rPr>
          <w:rFonts w:ascii="微软雅黑" w:hAnsi="微软雅黑" w:eastAsia="微软雅黑"/>
          <w:b w:val="0"/>
          <w:i w:val="0"/>
          <w:sz w:val="21"/>
        </w:rPr>
        <w:t>• TikTok 全量 (10,850 对)：采用 2 路 Worker 分片覆盖，全量入库 100%，耗费约 3 天稳定收敛；</w:t>
      </w:r>
    </w:p>
    <w:p>
      <w:pPr>
        <w:spacing w:before="0" w:after="80" w:line="300" w:lineRule="auto"/>
        <w:jc w:val="left"/>
      </w:pPr>
      <w:r>
        <w:rPr>
          <w:rFonts w:ascii="微软雅黑" w:hAnsi="微软雅黑" w:eastAsia="微软雅黑"/>
          <w:b w:val="0"/>
          <w:i w:val="0"/>
          <w:sz w:val="21"/>
        </w:rPr>
        <w:t>• Hi4D 全量 (6,600 对)：得益于 Q4_K_M + 5 路并发，全量 6,600 对仅用时 4 小时 20 分钟即全部跑完（平均每分钟产出约 25 对）。相较于原版 BF16 预估的 16~20 小时，节约了超 75% 的卡时成本！</w:t>
      </w:r>
    </w:p>
    <w:p>
      <w:pPr>
        <w:pStyle w:val="Heading1"/>
        <w:keepNext/>
        <w:spacing w:before="360" w:after="120"/>
      </w:pPr>
      <w:r>
        <w:rPr>
          <w:rFonts w:ascii="微软雅黑" w:hAnsi="微软雅黑" w:eastAsia="微软雅黑"/>
          <w:b/>
          <w:color w:val="1E3A8A"/>
          <w:sz w:val="32"/>
        </w:rPr>
        <w:t>四、中间遇到的关键问题与工程解决对策</w:t>
      </w:r>
    </w:p>
    <w:p>
      <w:pPr>
        <w:spacing w:before="0" w:after="80" w:line="300" w:lineRule="auto"/>
        <w:jc w:val="left"/>
      </w:pPr>
      <w:r>
        <w:rPr>
          <w:rFonts w:ascii="微软雅黑" w:hAnsi="微软雅黑" w:eastAsia="微软雅黑"/>
          <w:b w:val="0"/>
          <w:i w:val="0"/>
          <w:sz w:val="21"/>
        </w:rPr>
        <w:t>在从千条单人验证迈向万条全量生产的过程中，工程团队排查并解决了四个关键技术障碍：</w:t>
      </w:r>
    </w:p>
    <w:p>
      <w:pPr>
        <w:pStyle w:val="Heading2"/>
        <w:keepNext/>
        <w:spacing w:before="240" w:after="80"/>
      </w:pPr>
      <w:r>
        <w:rPr>
          <w:rFonts w:ascii="微软雅黑" w:hAnsi="微软雅黑" w:eastAsia="微软雅黑"/>
          <w:b/>
          <w:color w:val="2563EB"/>
          <w:sz w:val="26"/>
        </w:rPr>
        <w:t>4.1 问题一：&lt;image3&gt; / &lt;image5&gt; 目标图泄漏与负向免责声明残留</w:t>
      </w:r>
    </w:p>
    <w:tbl>
      <w:tblPr>
        <w:tblW w:type="auto" w:w="0"/>
        <w:jc w:val="center"/>
        <w:tblLook w:firstColumn="1" w:firstRow="1" w:lastColumn="0" w:lastRow="0" w:noHBand="0" w:noVBand="1" w:val="04A0"/>
      </w:tblPr>
      <w:tblGrid>
        <w:gridCol w:w="9792"/>
      </w:tblGrid>
      <w:tr>
        <w:tc>
          <w:tcPr>
            <w:tcW w:type="dxa" w:w="9792"/>
            <w:shd w:fill="FEF2F2"/>
            <w:tcMar>
              <w:top w:w="140" w:type="dxa"/>
              <w:bottom w:w="140" w:type="dxa"/>
              <w:left w:w="200" w:type="dxa"/>
              <w:right w:w="180" w:type="dxa"/>
            </w:tcMar>
            <w:tcBorders>
              <w:left w:val="single" w:sz="24" w:space="0" w:color="DC2626"/>
              <w:top w:val="none"/>
              <w:right w:val="none"/>
              <w:bottom w:val="none"/>
            </w:tcBorders>
          </w:tcPr>
          <w:p>
            <w:pPr>
              <w:spacing w:before="40" w:after="40" w:line="288" w:lineRule="auto"/>
            </w:pPr>
            <w:r>
              <w:rPr>
                <w:rFonts w:ascii="微软雅黑" w:hAnsi="微软雅黑"/>
                <w:b/>
                <w:color w:val="1E3A8A"/>
                <w:sz w:val="21"/>
              </w:rPr>
              <w:t>【问题 1 审计与解决】</w:t>
              <w:br/>
            </w:r>
            <w:r>
              <w:rPr>
                <w:rFonts w:ascii="微软雅黑" w:hAnsi="微软雅黑" w:eastAsia="微软雅黑"/>
                <w:b/>
                <w:i w:val="0"/>
                <w:color w:val="DC2626"/>
                <w:sz w:val="20"/>
              </w:rPr>
              <w:t>【故障现象】：</w:t>
            </w:r>
            <w:r>
              <w:rPr>
                <w:rFonts w:ascii="微软雅黑" w:hAnsi="微软雅黑" w:eastAsia="微软雅黑"/>
                <w:b w:val="0"/>
                <w:i w:val="0"/>
                <w:sz w:val="20"/>
              </w:rPr>
              <w:t>在无思考模式下，模型生成文本时出于对 Prompt 中安全规则的反应，高频在末尾添加防御性语句，例如 'Do not copy clothes from &lt;image5&gt;' 或 'Using &lt;image5&gt; as reference'。如果直接送入下游，由于下游 Qwen 只有 4 张图，会触发图序溢出与多模态 Token 对齐紊乱。</w:t>
              <w:br/>
            </w:r>
            <w:r>
              <w:rPr>
                <w:rFonts w:ascii="微软雅黑" w:hAnsi="微软雅黑" w:eastAsia="微软雅黑"/>
                <w:b/>
                <w:i w:val="0"/>
                <w:color w:val="059669"/>
                <w:sz w:val="20"/>
              </w:rPr>
              <w:t>【解决对策】：</w:t>
            </w:r>
            <w:r>
              <w:rPr>
                <w:rFonts w:ascii="微软雅黑" w:hAnsi="微软雅黑" w:eastAsia="微软雅黑"/>
                <w:b w:val="0"/>
                <w:i w:val="0"/>
                <w:sz w:val="20"/>
              </w:rPr>
              <w:t>采用'前端 Prompt 强惩罚 + 后端双保险编译器'。在 Instruction 中增加硬性负向禁令，同时在 Python 端编写 clean_and_verify_prompt() 正则引擎，将所有残余的 &lt;image5&gt; 映射为 'the target interaction'，并确保下游 inference 文本完全净空，验证通过率 100%。</w:t>
            </w:r>
          </w:p>
        </w:tc>
      </w:tr>
    </w:tbl>
    <w:p>
      <w:pPr>
        <w:spacing w:after="80"/>
      </w:pPr>
    </w:p>
    <w:p>
      <w:pPr>
        <w:pStyle w:val="Heading2"/>
        <w:keepNext/>
        <w:spacing w:before="240" w:after="80"/>
      </w:pPr>
      <w:r>
        <w:rPr>
          <w:rFonts w:ascii="微软雅黑" w:hAnsi="微软雅黑" w:eastAsia="微软雅黑"/>
          <w:b/>
          <w:color w:val="2563EB"/>
          <w:sz w:val="26"/>
        </w:rPr>
        <w:t>4.2 问题二：--no-thinking 模式下的思维链 (CoT) 泄露与粘连</w:t>
      </w:r>
    </w:p>
    <w:tbl>
      <w:tblPr>
        <w:tblW w:type="auto" w:w="0"/>
        <w:jc w:val="center"/>
        <w:tblLook w:firstColumn="1" w:firstRow="1" w:lastColumn="0" w:lastRow="0" w:noHBand="0" w:noVBand="1" w:val="04A0"/>
      </w:tblPr>
      <w:tblGrid>
        <w:gridCol w:w="9792"/>
      </w:tblGrid>
      <w:tr>
        <w:tc>
          <w:tcPr>
            <w:tcW w:type="dxa" w:w="9792"/>
            <w:shd w:fill="FFFBEB"/>
            <w:tcMar>
              <w:top w:w="140" w:type="dxa"/>
              <w:bottom w:w="140" w:type="dxa"/>
              <w:left w:w="200" w:type="dxa"/>
              <w:right w:w="180" w:type="dxa"/>
            </w:tcMar>
            <w:tcBorders>
              <w:left w:val="single" w:sz="24" w:space="0" w:color="F59E0B"/>
              <w:top w:val="none"/>
              <w:right w:val="none"/>
              <w:bottom w:val="none"/>
            </w:tcBorders>
          </w:tcPr>
          <w:p>
            <w:pPr>
              <w:spacing w:before="40" w:after="40" w:line="288" w:lineRule="auto"/>
            </w:pPr>
            <w:r>
              <w:rPr>
                <w:rFonts w:ascii="微软雅黑" w:hAnsi="微软雅黑"/>
                <w:b/>
                <w:color w:val="1E3A8A"/>
                <w:sz w:val="21"/>
              </w:rPr>
              <w:t>【问题 2 审计与解决】</w:t>
              <w:br/>
            </w:r>
            <w:r>
              <w:rPr>
                <w:rFonts w:ascii="微软雅黑" w:hAnsi="微软雅黑" w:eastAsia="微软雅黑"/>
                <w:b/>
                <w:i w:val="0"/>
                <w:color w:val="DC2626"/>
                <w:sz w:val="20"/>
              </w:rPr>
              <w:t>【故障现象】：</w:t>
            </w:r>
            <w:r>
              <w:rPr>
                <w:rFonts w:ascii="微软雅黑" w:hAnsi="微软雅黑" w:eastAsia="微软雅黑"/>
                <w:b w:val="0"/>
                <w:i w:val="0"/>
                <w:sz w:val="20"/>
              </w:rPr>
              <w:t>在 TikTok 数据集第 1 轮全量重写中，发现有 90 条样本在关闭思考模式后，依然将自我反思草稿（如 'Draft 1: ... Let me check word count...'）输出在了 JSON 字符串内部，导致词数超标或 JSON 解析报错。</w:t>
              <w:br/>
            </w:r>
            <w:r>
              <w:rPr>
                <w:rFonts w:ascii="微软雅黑" w:hAnsi="微软雅黑" w:eastAsia="微软雅黑"/>
                <w:b/>
                <w:i w:val="0"/>
                <w:color w:val="059669"/>
                <w:sz w:val="20"/>
              </w:rPr>
              <w:t>【解决对策】：</w:t>
            </w:r>
            <w:r>
              <w:rPr>
                <w:rFonts w:ascii="微软雅黑" w:hAnsi="微软雅黑" w:eastAsia="微软雅黑"/>
                <w:b w:val="0"/>
                <w:i w:val="0"/>
                <w:sz w:val="20"/>
              </w:rPr>
              <w:t>编写专属修复清洗器 (apply_rescue_cleaner.py)，利用严格的 Draft 块提取正则，精准剥离模型的反思过程，提取出最核心的高质量描述段落，90 条异常样本全部 100% 抢救成功并重新编译入库。</w:t>
            </w:r>
          </w:p>
        </w:tc>
      </w:tr>
    </w:tbl>
    <w:p>
      <w:pPr>
        <w:spacing w:after="80"/>
      </w:pPr>
    </w:p>
    <w:p>
      <w:pPr>
        <w:pStyle w:val="Heading2"/>
        <w:keepNext/>
        <w:spacing w:before="240" w:after="80"/>
      </w:pPr>
      <w:r>
        <w:rPr>
          <w:rFonts w:ascii="微软雅黑" w:hAnsi="微软雅黑" w:eastAsia="微软雅黑"/>
          <w:b/>
          <w:color w:val="2563EB"/>
          <w:sz w:val="26"/>
        </w:rPr>
        <w:t>4.3 问题三：Linux NVML 驱动/库版本不匹配 (NVML mismatch)</w:t>
      </w:r>
    </w:p>
    <w:tbl>
      <w:tblPr>
        <w:tblW w:type="auto" w:w="0"/>
        <w:jc w:val="center"/>
        <w:tblLook w:firstColumn="1" w:firstRow="1" w:lastColumn="0" w:lastRow="0" w:noHBand="0" w:noVBand="1" w:val="04A0"/>
      </w:tblPr>
      <w:tblGrid>
        <w:gridCol w:w="9792"/>
      </w:tblGrid>
      <w:tr>
        <w:tc>
          <w:tcPr>
            <w:tcW w:type="dxa" w:w="9792"/>
            <w:shd w:fill="EFF6FF"/>
            <w:tcMar>
              <w:top w:w="140" w:type="dxa"/>
              <w:bottom w:w="140" w:type="dxa"/>
              <w:left w:w="200" w:type="dxa"/>
              <w:right w:w="180" w:type="dxa"/>
            </w:tcMar>
            <w:tcBorders>
              <w:left w:val="single" w:sz="24" w:space="0" w:color="3B82F6"/>
              <w:top w:val="none"/>
              <w:right w:val="none"/>
              <w:bottom w:val="none"/>
            </w:tcBorders>
          </w:tcPr>
          <w:p>
            <w:pPr>
              <w:spacing w:before="40" w:after="40" w:line="288" w:lineRule="auto"/>
            </w:pPr>
            <w:r>
              <w:rPr>
                <w:rFonts w:ascii="微软雅黑" w:hAnsi="微软雅黑"/>
                <w:b/>
                <w:color w:val="1E3A8A"/>
                <w:sz w:val="21"/>
              </w:rPr>
              <w:t>【问题 3 审计与解决】</w:t>
              <w:br/>
            </w:r>
            <w:r>
              <w:rPr>
                <w:rFonts w:ascii="微软雅黑" w:hAnsi="微软雅黑" w:eastAsia="微软雅黑"/>
                <w:b/>
                <w:i w:val="0"/>
                <w:color w:val="DC2626"/>
                <w:sz w:val="20"/>
              </w:rPr>
              <w:t>【故障现象】：</w:t>
            </w:r>
            <w:r>
              <w:rPr>
                <w:rFonts w:ascii="微软雅黑" w:hAnsi="微软雅黑" w:eastAsia="微软雅黑"/>
                <w:b w:val="0"/>
                <w:i w:val="0"/>
                <w:sz w:val="20"/>
              </w:rPr>
              <w:t>由于服务器驱动热升级但未重启宿主机，导致标准的 nvidia-smi 工具报错 'Failed to initialize NVML: Driver/library version mismatch'，常规的显存监控脚本直接崩溃。</w:t>
              <w:br/>
            </w:r>
            <w:r>
              <w:rPr>
                <w:rFonts w:ascii="微软雅黑" w:hAnsi="微软雅黑" w:eastAsia="微软雅黑"/>
                <w:b/>
                <w:i w:val="0"/>
                <w:color w:val="059669"/>
                <w:sz w:val="20"/>
              </w:rPr>
              <w:t>【解决对策】：</w:t>
            </w:r>
            <w:r>
              <w:rPr>
                <w:rFonts w:ascii="微软雅黑" w:hAnsi="微软雅黑" w:eastAsia="微软雅黑"/>
                <w:b w:val="0"/>
                <w:i w:val="0"/>
                <w:sz w:val="20"/>
              </w:rPr>
              <w:t>全面改写显存与设备探针代码，绕过 NVML，直接调用 PyTorch 底层原生封装的 CUDA C Runtime (torch.cuda.mem_get_info())，保证显存监控与并发安全调度在驱动版本漂移下依然 100% 鲁棒可用。</w:t>
            </w:r>
          </w:p>
        </w:tc>
      </w:tr>
    </w:tbl>
    <w:p>
      <w:pPr>
        <w:spacing w:after="80"/>
      </w:pPr>
    </w:p>
    <w:p>
      <w:pPr>
        <w:pStyle w:val="Heading2"/>
        <w:keepNext/>
        <w:spacing w:before="240" w:after="80"/>
      </w:pPr>
      <w:r>
        <w:rPr>
          <w:rFonts w:ascii="微软雅黑" w:hAnsi="微软雅黑" w:eastAsia="微软雅黑"/>
          <w:b/>
          <w:color w:val="2563EB"/>
          <w:sz w:val="26"/>
        </w:rPr>
        <w:t>4.4 问题四：全量断点续跑与看门狗竞争死锁</w:t>
      </w:r>
    </w:p>
    <w:tbl>
      <w:tblPr>
        <w:tblW w:type="auto" w:w="0"/>
        <w:jc w:val="center"/>
        <w:tblLook w:firstColumn="1" w:firstRow="1" w:lastColumn="0" w:lastRow="0" w:noHBand="0" w:noVBand="1" w:val="04A0"/>
      </w:tblPr>
      <w:tblGrid>
        <w:gridCol w:w="9792"/>
      </w:tblGrid>
      <w:tr>
        <w:tc>
          <w:tcPr>
            <w:tcW w:type="dxa" w:w="9792"/>
            <w:shd w:fill="F5F3FF"/>
            <w:tcMar>
              <w:top w:w="140" w:type="dxa"/>
              <w:bottom w:w="140" w:type="dxa"/>
              <w:left w:w="200" w:type="dxa"/>
              <w:right w:w="180" w:type="dxa"/>
            </w:tcMar>
            <w:tcBorders>
              <w:left w:val="single" w:sz="24" w:space="0" w:color="8B5CF6"/>
              <w:top w:val="none"/>
              <w:right w:val="none"/>
              <w:bottom w:val="none"/>
            </w:tcBorders>
          </w:tcPr>
          <w:p>
            <w:pPr>
              <w:spacing w:before="40" w:after="40" w:line="288" w:lineRule="auto"/>
            </w:pPr>
            <w:r>
              <w:rPr>
                <w:rFonts w:ascii="微软雅黑" w:hAnsi="微软雅黑"/>
                <w:b/>
                <w:color w:val="1E3A8A"/>
                <w:sz w:val="21"/>
              </w:rPr>
              <w:t>【问题 4 审计与解决】</w:t>
              <w:br/>
            </w:r>
            <w:r>
              <w:rPr>
                <w:rFonts w:ascii="微软雅黑" w:hAnsi="微软雅黑" w:eastAsia="微软雅黑"/>
                <w:b/>
                <w:i w:val="0"/>
                <w:color w:val="DC2626"/>
                <w:sz w:val="20"/>
              </w:rPr>
              <w:t>【故障现象】：</w:t>
            </w:r>
            <w:r>
              <w:rPr>
                <w:rFonts w:ascii="微软雅黑" w:hAnsi="微软雅黑" w:eastAsia="微软雅黑"/>
                <w:b w:val="0"/>
                <w:i w:val="0"/>
                <w:sz w:val="20"/>
              </w:rPr>
              <w:t>在跨日多 Worker 并发运行中，如果一个 Worker 刚完成其分片而其他 Worker 仍在执行，看门狗脚本可能错误判定为进程挂起，从而盲目触发重启导致任务覆盖。</w:t>
              <w:br/>
            </w:r>
            <w:r>
              <w:rPr>
                <w:rFonts w:ascii="微软雅黑" w:hAnsi="微软雅黑" w:eastAsia="微软雅黑"/>
                <w:b/>
                <w:i w:val="0"/>
                <w:color w:val="059669"/>
                <w:sz w:val="20"/>
              </w:rPr>
              <w:t>【解决对策】：</w:t>
            </w:r>
            <w:r>
              <w:rPr>
                <w:rFonts w:ascii="微软雅黑" w:hAnsi="微软雅黑" w:eastAsia="微软雅黑"/>
                <w:b w:val="0"/>
                <w:i w:val="0"/>
                <w:sz w:val="20"/>
              </w:rPr>
              <w:t>引入原子级状态判定：每个样本生成落盘带有 SHA256 校验与 status: complete 字段；每个 Split 循环通过 count_complete 精确统计；看门狗唯有检测到完整的 FULL_DONE 信号才会安全休眠，彻底避免了并发重叠竞争。</w:t>
            </w:r>
          </w:p>
        </w:tc>
      </w:tr>
    </w:tbl>
    <w:p>
      <w:pPr>
        <w:spacing w:after="80"/>
      </w:pPr>
    </w:p>
    <w:p>
      <w:pPr>
        <w:pStyle w:val="Heading1"/>
        <w:keepNext/>
        <w:spacing w:before="360" w:after="120"/>
      </w:pPr>
      <w:r>
        <w:rPr>
          <w:rFonts w:ascii="微软雅黑" w:hAnsi="微软雅黑" w:eastAsia="微软雅黑"/>
          <w:b/>
          <w:color w:val="1E3A8A"/>
          <w:sz w:val="32"/>
        </w:rPr>
        <w:t>五、最后生成效果与多场景案例展示 (重点图文对照)</w:t>
      </w:r>
    </w:p>
    <w:p>
      <w:pPr>
        <w:spacing w:before="0" w:after="80" w:line="300" w:lineRule="auto"/>
        <w:jc w:val="left"/>
      </w:pPr>
      <w:r>
        <w:rPr>
          <w:rFonts w:ascii="微软雅黑" w:hAnsi="微软雅黑" w:eastAsia="微软雅黑"/>
          <w:b w:val="0"/>
          <w:i w:val="0"/>
          <w:sz w:val="21"/>
        </w:rPr>
        <w:t>本节着重展示重写流水线在单人（TikTok）与双人（Hi4D 复杂动作：拥抱、击掌）上的真实图文对照效果，所有展示案例均附带完整输入多模态图像与最终产出的规范提示词。</w:t>
      </w:r>
    </w:p>
    <w:p>
      <w:pPr>
        <w:pStyle w:val="Heading2"/>
        <w:keepNext/>
        <w:spacing w:before="240" w:after="80"/>
      </w:pPr>
      <w:r>
        <w:rPr>
          <w:rFonts w:ascii="微软雅黑" w:hAnsi="微软雅黑" w:eastAsia="微软雅黑"/>
          <w:b/>
          <w:color w:val="2563EB"/>
          <w:sz w:val="26"/>
        </w:rPr>
        <w:t>5.1 案例一：Hi4D 密集肢体贴合交互 —— 正面深拥 (hug00)</w:t>
      </w:r>
    </w:p>
    <w:p>
      <w:pPr>
        <w:spacing w:before="0" w:after="80" w:line="300" w:lineRule="auto"/>
        <w:jc w:val="left"/>
      </w:pPr>
      <w:r>
        <w:rPr>
          <w:rFonts w:ascii="微软雅黑" w:hAnsi="微软雅黑" w:eastAsia="微软雅黑"/>
          <w:b w:val="0"/>
          <w:i w:val="0"/>
          <w:sz w:val="21"/>
        </w:rPr>
        <w:t>该案例展现了双人正面紧密相拥动作。在只有总骨架时，手臂严重交叉重叠，难以区分谁抱住谁。5 图流水线成功将左侧人骨架 (&lt;image3&gt;) 与右侧人骨架 (&lt;image4&gt;) 独立解耦：</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tcMar>
              <w:top w:w="40" w:type="dxa"/>
              <w:bottom w:w="40" w:type="dxa"/>
              <w:left w:w="40" w:type="dxa"/>
              <w:right w:w="40" w:type="dxa"/>
            </w:tcMar>
          </w:tcPr>
          <w:p>
            <w:pPr>
              <w:jc w:val="center"/>
            </w:pPr>
            <w:r>
              <w:drawing>
                <wp:inline xmlns:a="http://schemas.openxmlformats.org/drawingml/2006/main" xmlns:pic="http://schemas.openxmlformats.org/drawingml/2006/picture">
                  <wp:extent cx="1115568" cy="1115568"/>
                  <wp:docPr id="1" name="Picture 1"/>
                  <wp:cNvGraphicFramePr>
                    <a:graphicFrameLocks noChangeAspect="1"/>
                  </wp:cNvGraphicFramePr>
                  <a:graphic>
                    <a:graphicData uri="http://schemas.openxmlformats.org/drawingml/2006/picture">
                      <pic:pic>
                        <pic:nvPicPr>
                          <pic:cNvPr id="0" name="hi4d_hug_src.png"/>
                          <pic:cNvPicPr/>
                        </pic:nvPicPr>
                        <pic:blipFill>
                          <a:blip r:embed="rId9"/>
                          <a:stretch>
                            <a:fillRect/>
                          </a:stretch>
                        </pic:blipFill>
                        <pic:spPr>
                          <a:xfrm>
                            <a:off x="0" y="0"/>
                            <a:ext cx="1115568" cy="1115568"/>
                          </a:xfrm>
                          <a:prstGeom prst="rect"/>
                        </pic:spPr>
                      </pic:pic>
                    </a:graphicData>
                  </a:graphic>
                </wp:inline>
              </w:drawing>
            </w:r>
          </w:p>
        </w:tc>
        <w:tc>
          <w:tcPr>
            <w:tcW w:type="dxa" w:w="1958"/>
            <w:tcMar>
              <w:top w:w="40" w:type="dxa"/>
              <w:bottom w:w="40" w:type="dxa"/>
              <w:left w:w="40" w:type="dxa"/>
              <w:right w:w="40" w:type="dxa"/>
            </w:tcMar>
          </w:tcPr>
          <w:p>
            <w:pPr>
              <w:jc w:val="center"/>
            </w:pPr>
            <w:r>
              <w:drawing>
                <wp:inline xmlns:a="http://schemas.openxmlformats.org/drawingml/2006/main" xmlns:pic="http://schemas.openxmlformats.org/drawingml/2006/picture">
                  <wp:extent cx="1115568" cy="1115568"/>
                  <wp:docPr id="2" name="Picture 2"/>
                  <wp:cNvGraphicFramePr>
                    <a:graphicFrameLocks noChangeAspect="1"/>
                  </wp:cNvGraphicFramePr>
                  <a:graphic>
                    <a:graphicData uri="http://schemas.openxmlformats.org/drawingml/2006/picture">
                      <pic:pic>
                        <pic:nvPicPr>
                          <pic:cNvPr id="0" name="hi4d_hug_pose_comb.png"/>
                          <pic:cNvPicPr/>
                        </pic:nvPicPr>
                        <pic:blipFill>
                          <a:blip r:embed="rId10"/>
                          <a:stretch>
                            <a:fillRect/>
                          </a:stretch>
                        </pic:blipFill>
                        <pic:spPr>
                          <a:xfrm>
                            <a:off x="0" y="0"/>
                            <a:ext cx="1115568" cy="1115568"/>
                          </a:xfrm>
                          <a:prstGeom prst="rect"/>
                        </pic:spPr>
                      </pic:pic>
                    </a:graphicData>
                  </a:graphic>
                </wp:inline>
              </w:drawing>
            </w:r>
          </w:p>
        </w:tc>
        <w:tc>
          <w:tcPr>
            <w:tcW w:type="dxa" w:w="1958"/>
            <w:tcMar>
              <w:top w:w="40" w:type="dxa"/>
              <w:bottom w:w="40" w:type="dxa"/>
              <w:left w:w="40" w:type="dxa"/>
              <w:right w:w="40" w:type="dxa"/>
            </w:tcMar>
          </w:tcPr>
          <w:p>
            <w:pPr>
              <w:jc w:val="center"/>
            </w:pPr>
            <w:r>
              <w:drawing>
                <wp:inline xmlns:a="http://schemas.openxmlformats.org/drawingml/2006/main" xmlns:pic="http://schemas.openxmlformats.org/drawingml/2006/picture">
                  <wp:extent cx="1115568" cy="1115568"/>
                  <wp:docPr id="3" name="Picture 3"/>
                  <wp:cNvGraphicFramePr>
                    <a:graphicFrameLocks noChangeAspect="1"/>
                  </wp:cNvGraphicFramePr>
                  <a:graphic>
                    <a:graphicData uri="http://schemas.openxmlformats.org/drawingml/2006/picture">
                      <pic:pic>
                        <pic:nvPicPr>
                          <pic:cNvPr id="0" name="hi4d_hug_pose_a.png"/>
                          <pic:cNvPicPr/>
                        </pic:nvPicPr>
                        <pic:blipFill>
                          <a:blip r:embed="rId11"/>
                          <a:stretch>
                            <a:fillRect/>
                          </a:stretch>
                        </pic:blipFill>
                        <pic:spPr>
                          <a:xfrm>
                            <a:off x="0" y="0"/>
                            <a:ext cx="1115568" cy="1115568"/>
                          </a:xfrm>
                          <a:prstGeom prst="rect"/>
                        </pic:spPr>
                      </pic:pic>
                    </a:graphicData>
                  </a:graphic>
                </wp:inline>
              </w:drawing>
            </w:r>
          </w:p>
        </w:tc>
        <w:tc>
          <w:tcPr>
            <w:tcW w:type="dxa" w:w="1958"/>
            <w:tcMar>
              <w:top w:w="40" w:type="dxa"/>
              <w:bottom w:w="40" w:type="dxa"/>
              <w:left w:w="40" w:type="dxa"/>
              <w:right w:w="40" w:type="dxa"/>
            </w:tcMar>
          </w:tcPr>
          <w:p>
            <w:pPr>
              <w:jc w:val="center"/>
            </w:pPr>
            <w:r>
              <w:drawing>
                <wp:inline xmlns:a="http://schemas.openxmlformats.org/drawingml/2006/main" xmlns:pic="http://schemas.openxmlformats.org/drawingml/2006/picture">
                  <wp:extent cx="1115568" cy="1115568"/>
                  <wp:docPr id="4" name="Picture 4"/>
                  <wp:cNvGraphicFramePr>
                    <a:graphicFrameLocks noChangeAspect="1"/>
                  </wp:cNvGraphicFramePr>
                  <a:graphic>
                    <a:graphicData uri="http://schemas.openxmlformats.org/drawingml/2006/picture">
                      <pic:pic>
                        <pic:nvPicPr>
                          <pic:cNvPr id="0" name="hi4d_hug_pose_b.png"/>
                          <pic:cNvPicPr/>
                        </pic:nvPicPr>
                        <pic:blipFill>
                          <a:blip r:embed="rId12"/>
                          <a:stretch>
                            <a:fillRect/>
                          </a:stretch>
                        </pic:blipFill>
                        <pic:spPr>
                          <a:xfrm>
                            <a:off x="0" y="0"/>
                            <a:ext cx="1115568" cy="1115568"/>
                          </a:xfrm>
                          <a:prstGeom prst="rect"/>
                        </pic:spPr>
                      </pic:pic>
                    </a:graphicData>
                  </a:graphic>
                </wp:inline>
              </w:drawing>
            </w:r>
          </w:p>
        </w:tc>
        <w:tc>
          <w:tcPr>
            <w:tcW w:type="dxa" w:w="1958"/>
            <w:tcMar>
              <w:top w:w="40" w:type="dxa"/>
              <w:bottom w:w="40" w:type="dxa"/>
              <w:left w:w="40" w:type="dxa"/>
              <w:right w:w="40" w:type="dxa"/>
            </w:tcMar>
          </w:tcPr>
          <w:p>
            <w:pPr>
              <w:jc w:val="center"/>
            </w:pPr>
            <w:r>
              <w:drawing>
                <wp:inline xmlns:a="http://schemas.openxmlformats.org/drawingml/2006/main" xmlns:pic="http://schemas.openxmlformats.org/drawingml/2006/picture">
                  <wp:extent cx="1115568" cy="1115568"/>
                  <wp:docPr id="5" name="Picture 5"/>
                  <wp:cNvGraphicFramePr>
                    <a:graphicFrameLocks noChangeAspect="1"/>
                  </wp:cNvGraphicFramePr>
                  <a:graphic>
                    <a:graphicData uri="http://schemas.openxmlformats.org/drawingml/2006/picture">
                      <pic:pic>
                        <pic:nvPicPr>
                          <pic:cNvPr id="0" name="hi4d_hug_tgt.png"/>
                          <pic:cNvPicPr/>
                        </pic:nvPicPr>
                        <pic:blipFill>
                          <a:blip r:embed="rId13"/>
                          <a:stretch>
                            <a:fillRect/>
                          </a:stretch>
                        </pic:blipFill>
                        <pic:spPr>
                          <a:xfrm>
                            <a:off x="0" y="0"/>
                            <a:ext cx="1115568" cy="1115568"/>
                          </a:xfrm>
                          <a:prstGeom prst="rect"/>
                        </pic:spPr>
                      </pic:pic>
                    </a:graphicData>
                  </a:graphic>
                </wp:inline>
              </w:drawing>
            </w:r>
          </w:p>
        </w:tc>
      </w:tr>
      <w:tr>
        <w:tc>
          <w:tcPr>
            <w:tcW w:type="dxa" w:w="1958"/>
            <w:tcMar>
              <w:top w:w="20" w:type="dxa"/>
              <w:bottom w:w="40" w:type="dxa"/>
              <w:left w:w="40" w:type="dxa"/>
              <w:right w:w="40" w:type="dxa"/>
            </w:tcMar>
          </w:tcPr>
          <w:p>
            <w:pPr>
              <w:jc w:val="center"/>
            </w:pPr>
            <w:r>
              <w:rPr>
                <w:rFonts w:ascii="微软雅黑" w:hAnsi="微软雅黑"/>
                <w:color w:val="4B5563"/>
                <w:sz w:val="16"/>
              </w:rPr>
              <w:t>&lt;image1&gt; 源图 A</w:t>
              <w:br/>
              <w:t>(两人原貌与环境)</w:t>
            </w:r>
          </w:p>
        </w:tc>
        <w:tc>
          <w:tcPr>
            <w:tcW w:type="dxa" w:w="1958"/>
            <w:tcMar>
              <w:top w:w="20" w:type="dxa"/>
              <w:bottom w:w="40" w:type="dxa"/>
              <w:left w:w="40" w:type="dxa"/>
              <w:right w:w="40" w:type="dxa"/>
            </w:tcMar>
          </w:tcPr>
          <w:p>
            <w:pPr>
              <w:jc w:val="center"/>
            </w:pPr>
            <w:r>
              <w:rPr>
                <w:rFonts w:ascii="微软雅黑" w:hAnsi="微软雅黑"/>
                <w:color w:val="4B5563"/>
                <w:sz w:val="16"/>
              </w:rPr>
              <w:t>&lt;image2&gt; 双人总骨架</w:t>
              <w:br/>
              <w:t>(全局距离与交互)</w:t>
            </w:r>
          </w:p>
        </w:tc>
        <w:tc>
          <w:tcPr>
            <w:tcW w:type="dxa" w:w="1958"/>
            <w:tcMar>
              <w:top w:w="20" w:type="dxa"/>
              <w:bottom w:w="40" w:type="dxa"/>
              <w:left w:w="40" w:type="dxa"/>
              <w:right w:w="40" w:type="dxa"/>
            </w:tcMar>
          </w:tcPr>
          <w:p>
            <w:pPr>
              <w:jc w:val="center"/>
            </w:pPr>
            <w:r>
              <w:rPr>
                <w:rFonts w:ascii="微软雅黑" w:hAnsi="微软雅黑"/>
                <w:color w:val="4B5563"/>
                <w:sz w:val="16"/>
              </w:rPr>
              <w:t>&lt;image3&gt; 人1独立骨架</w:t>
              <w:br/>
              <w:t>(左侧男士单人关节)</w:t>
            </w:r>
          </w:p>
        </w:tc>
        <w:tc>
          <w:tcPr>
            <w:tcW w:type="dxa" w:w="1958"/>
            <w:tcMar>
              <w:top w:w="20" w:type="dxa"/>
              <w:bottom w:w="40" w:type="dxa"/>
              <w:left w:w="40" w:type="dxa"/>
              <w:right w:w="40" w:type="dxa"/>
            </w:tcMar>
          </w:tcPr>
          <w:p>
            <w:pPr>
              <w:jc w:val="center"/>
            </w:pPr>
            <w:r>
              <w:rPr>
                <w:rFonts w:ascii="微软雅黑" w:hAnsi="微软雅黑"/>
                <w:color w:val="4B5563"/>
                <w:sz w:val="16"/>
              </w:rPr>
              <w:t>&lt;image4&gt; 人2独立骨架</w:t>
              <w:br/>
              <w:t>(右侧女士单人关节)</w:t>
            </w:r>
          </w:p>
        </w:tc>
        <w:tc>
          <w:tcPr>
            <w:tcW w:type="dxa" w:w="1958"/>
            <w:tcMar>
              <w:top w:w="20" w:type="dxa"/>
              <w:bottom w:w="40" w:type="dxa"/>
              <w:left w:w="40" w:type="dxa"/>
              <w:right w:w="40" w:type="dxa"/>
            </w:tcMar>
          </w:tcPr>
          <w:p>
            <w:pPr>
              <w:jc w:val="center"/>
            </w:pPr>
            <w:r>
              <w:rPr>
                <w:rFonts w:ascii="微软雅黑" w:hAnsi="微软雅黑"/>
                <w:color w:val="4B5563"/>
                <w:sz w:val="16"/>
              </w:rPr>
              <w:t>&lt;image5&gt; 目标真值 B</w:t>
              <w:br/>
              <w:t>(GT真值, 仅PE可见)</w:t>
            </w:r>
          </w:p>
        </w:tc>
      </w:tr>
    </w:tbl>
    <w:p>
      <w:pPr>
        <w:spacing w:after="40"/>
      </w:pPr>
    </w:p>
    <w:tbl>
      <w:tblPr>
        <w:tblW w:type="auto" w:w="0"/>
        <w:jc w:val="center"/>
        <w:tblLook w:firstColumn="1" w:firstRow="1" w:lastColumn="0" w:lastRow="0" w:noHBand="0" w:noVBand="1" w:val="04A0"/>
      </w:tblPr>
      <w:tblGrid>
        <w:gridCol w:w="9792"/>
      </w:tblGrid>
      <w:tr>
        <w:tc>
          <w:tcPr>
            <w:tcW w:type="dxa" w:w="9792"/>
            <w:shd w:fill="F8FAFC"/>
            <w:tcMar>
              <w:top w:w="120" w:type="dxa"/>
              <w:bottom w:w="120" w:type="dxa"/>
              <w:left w:w="160" w:type="dxa"/>
              <w:right w:w="160" w:type="dxa"/>
            </w:tcMar>
            <w:tcBorders>
              <w:left w:val="single" w:sz="18" w:space="0" w:color="94A3B8"/>
              <w:top w:val="single" w:sz="4" w:space="0" w:color="E2E8F0"/>
              <w:right w:val="single" w:sz="4" w:space="0" w:color="E2E8F0"/>
              <w:bottom w:val="single" w:sz="4" w:space="0" w:color="E2E8F0"/>
            </w:tcBorders>
          </w:tcPr>
          <w:p>
            <w:pPr>
              <w:spacing w:before="40" w:after="40" w:line="276" w:lineRule="auto"/>
            </w:pPr>
            <w:r>
              <w:rPr>
                <w:rFonts w:ascii="微软雅黑" w:hAnsi="微软雅黑"/>
                <w:b/>
                <w:color w:val="0F172A"/>
                <w:sz w:val="19"/>
              </w:rPr>
              <w:t>📌 Hi4D hug00 最终生成的下游 Qwen 完整提示词 (compiled_prompt_inference):</w:t>
              <w:br/>
            </w:r>
            <w:r>
              <w:rPr>
                <w:rFonts w:ascii="Consolas" w:hAnsi="Consolas" w:eastAsia="微软雅黑"/>
                <w:color w:val="334155"/>
                <w:sz w:val="18"/>
              </w:rPr>
              <w:t>Edit the two existing people in &lt;image1&gt; into the described interaction pose. &lt;image1&gt; supplies all identity, hairstyle, face, outfit, accessories and scene appearance for both people. &lt;image2&gt; is the combined dual-person pose skeleton. &lt;image3&gt; is person 1's isolated pose skeleton. &lt;image4&gt; is person 2's isolated pose skeleton. Do not swap the identities or clothing of the two people, and do not add any object not present in &lt;image1&gt;. On &lt;image1&gt; (the source photograph of two people hugging in a green-screen studio), re-pose the two existing individuals so their bodies match the dual-person skeleton configuration in &lt;image2&gt;, using &lt;image3&gt; as the exact joint guide for person 1 (the person on the left, wearing the light gray T-shirt, light beige trousers, red-green striped socks, and beige sneakers) and &lt;image4&gt; as the exact joint guide for person 2 (the person on the right, wearing the blue-white striped T-shirt, black trousers, and white-blue sneakers). Following the combined skeleton in &lt;image2&gt;, person 1 stands on the left side facing rightward toward the center, and person 2 stands on the right side facing leftward, with the two positioned at the same close interaction distance as the skeleton shows. Following &lt;image3&gt;, person 1's arm joints bend upward toward the right so that person 1's right arm reaches across and wraps around person 2's shoulder and neck, while person 1's left arm extends toward person 2's waist. Following &lt;image4&gt;, person 2's arm joints bend upward so that person 2's near arm wraps around person 1's neck and shoulder, and person 2's other arm rests on person 1's back, recreating the mutual embrace topology: torsos in close contact, arms interlocked around each other's shoulders and backs, heads tilted toward each other with gazes directed at one another, and each person's feet planted at the skeleton's stance angles. Preserve from &lt;image1&gt; both individuals' facial identities, hairstyles, clothing, shoes, and the green-screen studio background with its lighting rigs completely unchanged. The pose transfer must keep anatomically coherent joints, natural weight distribution, and consistent studio lighting on the re-posed bodies, with contact shadows on the green floor matching the existing overhead light direction. Preserve both source persons, their clothing, objects and setting. Render a natural photograph without skeleton lines, diagrams or pose-guide colors.</w:t>
            </w:r>
          </w:p>
        </w:tc>
      </w:tr>
    </w:tbl>
    <w:p>
      <w:pPr>
        <w:spacing w:after="80"/>
      </w:pPr>
    </w:p>
    <w:p>
      <w:pPr>
        <w:pStyle w:val="Heading2"/>
        <w:keepNext/>
        <w:spacing w:before="240" w:after="80"/>
      </w:pPr>
      <w:r>
        <w:rPr>
          <w:rFonts w:ascii="微软雅黑" w:hAnsi="微软雅黑" w:eastAsia="微软雅黑"/>
          <w:b/>
          <w:color w:val="2563EB"/>
          <w:sz w:val="26"/>
        </w:rPr>
        <w:t>5.2 案例二：Hi4D 空间距离与手部接触交互 —— 双人击掌 (highfive12)</w:t>
      </w:r>
    </w:p>
    <w:p>
      <w:pPr>
        <w:spacing w:before="0" w:after="80" w:line="300" w:lineRule="auto"/>
        <w:jc w:val="left"/>
      </w:pPr>
      <w:r>
        <w:rPr>
          <w:rFonts w:ascii="微软雅黑" w:hAnsi="微软雅黑" w:eastAsia="微软雅黑"/>
          <w:b w:val="0"/>
          <w:i w:val="0"/>
          <w:sz w:val="21"/>
        </w:rPr>
        <w:t>该案例展现了双人站立击掌动作，重点在于双手掌心在空中的接触拓扑与视线朝向：</w:t>
      </w:r>
    </w:p>
    <w:tbl>
      <w:tblPr>
        <w:tblW w:type="auto" w:w="0"/>
        <w:jc w:val="center"/>
        <w:tblLook w:firstColumn="1" w:firstRow="1" w:lastColumn="0" w:lastRow="0" w:noHBand="0" w:noVBand="1" w:val="04A0"/>
      </w:tblPr>
      <w:tblGrid>
        <w:gridCol w:w="3264"/>
        <w:gridCol w:w="3264"/>
        <w:gridCol w:w="3264"/>
      </w:tblGrid>
      <w:tr>
        <w:tc>
          <w:tcPr>
            <w:tcW w:type="dxa" w:w="3264"/>
            <w:tcMar>
              <w:top w:w="40" w:type="dxa"/>
              <w:bottom w:w="40" w:type="dxa"/>
              <w:left w:w="40" w:type="dxa"/>
              <w:right w:w="40" w:type="dxa"/>
            </w:tcMar>
          </w:tcPr>
          <w:p>
            <w:pPr>
              <w:jc w:val="center"/>
            </w:pPr>
            <w:r>
              <w:drawing>
                <wp:inline xmlns:a="http://schemas.openxmlformats.org/drawingml/2006/main" xmlns:pic="http://schemas.openxmlformats.org/drawingml/2006/picture">
                  <wp:extent cx="1691640" cy="1691640"/>
                  <wp:docPr id="6" name="Picture 6"/>
                  <wp:cNvGraphicFramePr>
                    <a:graphicFrameLocks noChangeAspect="1"/>
                  </wp:cNvGraphicFramePr>
                  <a:graphic>
                    <a:graphicData uri="http://schemas.openxmlformats.org/drawingml/2006/picture">
                      <pic:pic>
                        <pic:nvPicPr>
                          <pic:cNvPr id="0" name="hi4d_hf_src.png"/>
                          <pic:cNvPicPr/>
                        </pic:nvPicPr>
                        <pic:blipFill>
                          <a:blip r:embed="rId14"/>
                          <a:stretch>
                            <a:fillRect/>
                          </a:stretch>
                        </pic:blipFill>
                        <pic:spPr>
                          <a:xfrm>
                            <a:off x="0" y="0"/>
                            <a:ext cx="1691640" cy="1691640"/>
                          </a:xfrm>
                          <a:prstGeom prst="rect"/>
                        </pic:spPr>
                      </pic:pic>
                    </a:graphicData>
                  </a:graphic>
                </wp:inline>
              </w:drawing>
            </w:r>
          </w:p>
        </w:tc>
        <w:tc>
          <w:tcPr>
            <w:tcW w:type="dxa" w:w="3264"/>
            <w:tcMar>
              <w:top w:w="40" w:type="dxa"/>
              <w:bottom w:w="40" w:type="dxa"/>
              <w:left w:w="40" w:type="dxa"/>
              <w:right w:w="40" w:type="dxa"/>
            </w:tcMar>
          </w:tcPr>
          <w:p>
            <w:pPr>
              <w:jc w:val="center"/>
            </w:pPr>
            <w:r>
              <w:drawing>
                <wp:inline xmlns:a="http://schemas.openxmlformats.org/drawingml/2006/main" xmlns:pic="http://schemas.openxmlformats.org/drawingml/2006/picture">
                  <wp:extent cx="1691640" cy="1691640"/>
                  <wp:docPr id="7" name="Picture 7"/>
                  <wp:cNvGraphicFramePr>
                    <a:graphicFrameLocks noChangeAspect="1"/>
                  </wp:cNvGraphicFramePr>
                  <a:graphic>
                    <a:graphicData uri="http://schemas.openxmlformats.org/drawingml/2006/picture">
                      <pic:pic>
                        <pic:nvPicPr>
                          <pic:cNvPr id="0" name="hi4d_hf_pose_comb.png"/>
                          <pic:cNvPicPr/>
                        </pic:nvPicPr>
                        <pic:blipFill>
                          <a:blip r:embed="rId15"/>
                          <a:stretch>
                            <a:fillRect/>
                          </a:stretch>
                        </pic:blipFill>
                        <pic:spPr>
                          <a:xfrm>
                            <a:off x="0" y="0"/>
                            <a:ext cx="1691640" cy="1691640"/>
                          </a:xfrm>
                          <a:prstGeom prst="rect"/>
                        </pic:spPr>
                      </pic:pic>
                    </a:graphicData>
                  </a:graphic>
                </wp:inline>
              </w:drawing>
            </w:r>
          </w:p>
        </w:tc>
        <w:tc>
          <w:tcPr>
            <w:tcW w:type="dxa" w:w="3264"/>
            <w:tcMar>
              <w:top w:w="40" w:type="dxa"/>
              <w:bottom w:w="40" w:type="dxa"/>
              <w:left w:w="40" w:type="dxa"/>
              <w:right w:w="40" w:type="dxa"/>
            </w:tcMar>
          </w:tcPr>
          <w:p>
            <w:pPr>
              <w:jc w:val="center"/>
            </w:pPr>
            <w:r>
              <w:drawing>
                <wp:inline xmlns:a="http://schemas.openxmlformats.org/drawingml/2006/main" xmlns:pic="http://schemas.openxmlformats.org/drawingml/2006/picture">
                  <wp:extent cx="1691640" cy="1691640"/>
                  <wp:docPr id="8" name="Picture 8"/>
                  <wp:cNvGraphicFramePr>
                    <a:graphicFrameLocks noChangeAspect="1"/>
                  </wp:cNvGraphicFramePr>
                  <a:graphic>
                    <a:graphicData uri="http://schemas.openxmlformats.org/drawingml/2006/picture">
                      <pic:pic>
                        <pic:nvPicPr>
                          <pic:cNvPr id="0" name="hi4d_hf_tgt.png"/>
                          <pic:cNvPicPr/>
                        </pic:nvPicPr>
                        <pic:blipFill>
                          <a:blip r:embed="rId16"/>
                          <a:stretch>
                            <a:fillRect/>
                          </a:stretch>
                        </pic:blipFill>
                        <pic:spPr>
                          <a:xfrm>
                            <a:off x="0" y="0"/>
                            <a:ext cx="1691640" cy="1691640"/>
                          </a:xfrm>
                          <a:prstGeom prst="rect"/>
                        </pic:spPr>
                      </pic:pic>
                    </a:graphicData>
                  </a:graphic>
                </wp:inline>
              </w:drawing>
            </w:r>
          </w:p>
        </w:tc>
      </w:tr>
      <w:tr>
        <w:tc>
          <w:tcPr>
            <w:tcW w:type="dxa" w:w="3264"/>
            <w:tcMar>
              <w:top w:w="20" w:type="dxa"/>
              <w:bottom w:w="40" w:type="dxa"/>
              <w:left w:w="40" w:type="dxa"/>
              <w:right w:w="40" w:type="dxa"/>
            </w:tcMar>
          </w:tcPr>
          <w:p>
            <w:pPr>
              <w:jc w:val="center"/>
            </w:pPr>
            <w:r>
              <w:rPr>
                <w:rFonts w:ascii="微软雅黑" w:hAnsi="微软雅黑"/>
                <w:color w:val="4B5563"/>
                <w:sz w:val="17"/>
              </w:rPr>
              <w:t>&lt;image1&gt; 源图 A (击掌前初始姿态与身份)</w:t>
            </w:r>
          </w:p>
        </w:tc>
        <w:tc>
          <w:tcPr>
            <w:tcW w:type="dxa" w:w="3264"/>
            <w:tcMar>
              <w:top w:w="20" w:type="dxa"/>
              <w:bottom w:w="40" w:type="dxa"/>
              <w:left w:w="40" w:type="dxa"/>
              <w:right w:w="40" w:type="dxa"/>
            </w:tcMar>
          </w:tcPr>
          <w:p>
            <w:pPr>
              <w:jc w:val="center"/>
            </w:pPr>
            <w:r>
              <w:rPr>
                <w:rFonts w:ascii="微软雅黑" w:hAnsi="微软雅黑"/>
                <w:color w:val="4B5563"/>
                <w:sz w:val="17"/>
              </w:rPr>
              <w:t>&lt;image2&gt; 双人总骨架 (手部交汇位置与站距)</w:t>
            </w:r>
          </w:p>
        </w:tc>
        <w:tc>
          <w:tcPr>
            <w:tcW w:type="dxa" w:w="3264"/>
            <w:tcMar>
              <w:top w:w="20" w:type="dxa"/>
              <w:bottom w:w="40" w:type="dxa"/>
              <w:left w:w="40" w:type="dxa"/>
              <w:right w:w="40" w:type="dxa"/>
            </w:tcMar>
          </w:tcPr>
          <w:p>
            <w:pPr>
              <w:jc w:val="center"/>
            </w:pPr>
            <w:r>
              <w:rPr>
                <w:rFonts w:ascii="微软雅黑" w:hAnsi="微软雅黑"/>
                <w:color w:val="4B5563"/>
                <w:sz w:val="17"/>
              </w:rPr>
              <w:t>目标真值 B (真实击掌手势与对视接触)</w:t>
            </w:r>
          </w:p>
        </w:tc>
      </w:tr>
    </w:tbl>
    <w:p>
      <w:pPr>
        <w:spacing w:after="40"/>
      </w:pPr>
    </w:p>
    <w:tbl>
      <w:tblPr>
        <w:tblW w:type="auto" w:w="0"/>
        <w:jc w:val="center"/>
        <w:tblLook w:firstColumn="1" w:firstRow="1" w:lastColumn="0" w:lastRow="0" w:noHBand="0" w:noVBand="1" w:val="04A0"/>
      </w:tblPr>
      <w:tblGrid>
        <w:gridCol w:w="9792"/>
      </w:tblGrid>
      <w:tr>
        <w:tc>
          <w:tcPr>
            <w:tcW w:type="dxa" w:w="9792"/>
            <w:shd w:fill="F8FAFC"/>
            <w:tcMar>
              <w:top w:w="120" w:type="dxa"/>
              <w:bottom w:w="120" w:type="dxa"/>
              <w:left w:w="160" w:type="dxa"/>
              <w:right w:w="160" w:type="dxa"/>
            </w:tcMar>
            <w:tcBorders>
              <w:left w:val="single" w:sz="18" w:space="0" w:color="94A3B8"/>
              <w:top w:val="single" w:sz="4" w:space="0" w:color="E2E8F0"/>
              <w:right w:val="single" w:sz="4" w:space="0" w:color="E2E8F0"/>
              <w:bottom w:val="single" w:sz="4" w:space="0" w:color="E2E8F0"/>
            </w:tcBorders>
          </w:tcPr>
          <w:p>
            <w:pPr>
              <w:spacing w:before="40" w:after="40" w:line="276" w:lineRule="auto"/>
            </w:pPr>
            <w:r>
              <w:rPr>
                <w:rFonts w:ascii="微软雅黑" w:hAnsi="微软雅黑"/>
                <w:b/>
                <w:color w:val="0F172A"/>
                <w:sz w:val="19"/>
              </w:rPr>
              <w:t>📌 Hi4D highfive12 生成的下游 Qwen 完整提示词 (compiled_prompt_inference):</w:t>
              <w:br/>
            </w:r>
            <w:r>
              <w:rPr>
                <w:rFonts w:ascii="Consolas" w:hAnsi="Consolas" w:eastAsia="微软雅黑"/>
                <w:color w:val="334155"/>
                <w:sz w:val="18"/>
              </w:rPr>
              <w:t>Edit the two existing people in &lt;image1&gt; into the described interaction pose. &lt;image1&gt; supplies all identity, hairstyle, face, outfit, accessories and scene appearance for both people. &lt;image2&gt; is the combined dual-person pose skeleton. &lt;image3&gt; is person 1's isolated pose skeleton. &lt;image4&gt; is person 2's isolated pose skeleton. Do not swap the identities or clothing of the two people, and do not add any object not present in &lt;image1&gt;. On &lt;image1&gt; (canvas), re-pose both individuals to match the dual-person skeleton configuration defined by &lt;image2&gt;, &lt;image3&gt;, and &lt;image4&gt;, without copying any identity, clothing, or appearance from the unseen target photograph. Using &lt;image3&gt; (left person's isolated skeleton) as the precise joint guide for the left individual and &lt;image4&gt; (right person's isolated skeleton) as the precise joint guide for the right individual, adjust each person's arm and leg joint angles to replicate the exact pose: the left individual in the dark long-sleeve shirt stands facing right with his right arm extended forward toward the other person and his left arm bent at his side, feet apart in sandals; the right individual in the black T-shirt stands facing left with his torso slightly leaned forward, his right arm extended toward the left person with open palm and his left arm swung out behind him, legs bent with knees flexed in white sneakers. Preserve both individuals' facial identities, hairstyles, skin tones, clothing (left: dark long-sleeve shirt, loose dark trousers, brown sandals; right: black T-shirt, black trousers, white sneakers), and the green-screen studio background with light panels and metal rigging from &lt;image1&gt; completely unchanged. Replicate the high-five interaction implied by the skeleton: the two extended hands meet near the center between the bodies at the same spatial distance shown in &lt;image2&gt;, with fingers of both hands open and palms facing each other at the moment of contact. Maintain gaze direction toward each other and the exact standing positions and body separation defined by the combined skeleton. Update shadows and highlights on both bodies to remain consistent with studio lighting.</w:t>
            </w:r>
          </w:p>
        </w:tc>
      </w:tr>
    </w:tbl>
    <w:p>
      <w:pPr>
        <w:spacing w:after="80"/>
      </w:pPr>
    </w:p>
    <w:p>
      <w:pPr>
        <w:pStyle w:val="Heading2"/>
        <w:keepNext/>
        <w:spacing w:before="240" w:after="80"/>
      </w:pPr>
      <w:r>
        <w:rPr>
          <w:rFonts w:ascii="微软雅黑" w:hAnsi="微软雅黑" w:eastAsia="微软雅黑"/>
          <w:b/>
          <w:color w:val="2563EB"/>
          <w:sz w:val="26"/>
        </w:rPr>
        <w:t>5.3 案例三：TikTok 单人长程大幅度姿态迁移 (test_0000001)</w:t>
      </w:r>
    </w:p>
    <w:p>
      <w:pPr>
        <w:spacing w:before="0" w:after="80" w:line="300" w:lineRule="auto"/>
        <w:jc w:val="left"/>
      </w:pPr>
      <w:r>
        <w:rPr>
          <w:rFonts w:ascii="微软雅黑" w:hAnsi="微软雅黑" w:eastAsia="微软雅黑"/>
          <w:b w:val="0"/>
          <w:i w:val="0"/>
          <w:sz w:val="21"/>
        </w:rPr>
        <w:t>该案例展现了大幅度全身动作迁移（从双手高举到双手自然插腰），同时要求保持 TikTok 水印像素级不失真、服装面料褶皱随姿态自适应：</w:t>
      </w:r>
    </w:p>
    <w:tbl>
      <w:tblPr>
        <w:tblW w:type="auto" w:w="0"/>
        <w:jc w:val="center"/>
        <w:tblLook w:firstColumn="1" w:firstRow="1" w:lastColumn="0" w:lastRow="0" w:noHBand="0" w:noVBand="1" w:val="04A0"/>
      </w:tblPr>
      <w:tblGrid>
        <w:gridCol w:w="3264"/>
        <w:gridCol w:w="3264"/>
        <w:gridCol w:w="3264"/>
      </w:tblGrid>
      <w:tr>
        <w:tc>
          <w:tcPr>
            <w:tcW w:type="dxa" w:w="3264"/>
            <w:tcMar>
              <w:top w:w="40" w:type="dxa"/>
              <w:bottom w:w="40" w:type="dxa"/>
              <w:left w:w="40" w:type="dxa"/>
              <w:right w:w="40" w:type="dxa"/>
            </w:tcMar>
          </w:tcPr>
          <w:p>
            <w:pPr>
              <w:jc w:val="center"/>
            </w:pPr>
            <w:r>
              <w:drawing>
                <wp:inline xmlns:a="http://schemas.openxmlformats.org/drawingml/2006/main" xmlns:pic="http://schemas.openxmlformats.org/drawingml/2006/picture">
                  <wp:extent cx="1417320" cy="2534281"/>
                  <wp:docPr id="9" name="Picture 9"/>
                  <wp:cNvGraphicFramePr>
                    <a:graphicFrameLocks noChangeAspect="1"/>
                  </wp:cNvGraphicFramePr>
                  <a:graphic>
                    <a:graphicData uri="http://schemas.openxmlformats.org/drawingml/2006/picture">
                      <pic:pic>
                        <pic:nvPicPr>
                          <pic:cNvPr id="0" name="tiktok_src.png"/>
                          <pic:cNvPicPr/>
                        </pic:nvPicPr>
                        <pic:blipFill>
                          <a:blip r:embed="rId17"/>
                          <a:stretch>
                            <a:fillRect/>
                          </a:stretch>
                        </pic:blipFill>
                        <pic:spPr>
                          <a:xfrm>
                            <a:off x="0" y="0"/>
                            <a:ext cx="1417320" cy="2534281"/>
                          </a:xfrm>
                          <a:prstGeom prst="rect"/>
                        </pic:spPr>
                      </pic:pic>
                    </a:graphicData>
                  </a:graphic>
                </wp:inline>
              </w:drawing>
            </w:r>
          </w:p>
        </w:tc>
        <w:tc>
          <w:tcPr>
            <w:tcW w:type="dxa" w:w="3264"/>
            <w:tcMar>
              <w:top w:w="40" w:type="dxa"/>
              <w:bottom w:w="40" w:type="dxa"/>
              <w:left w:w="40" w:type="dxa"/>
              <w:right w:w="40" w:type="dxa"/>
            </w:tcMar>
          </w:tcPr>
          <w:p>
            <w:pPr>
              <w:jc w:val="center"/>
            </w:pPr>
            <w:r>
              <w:drawing>
                <wp:inline xmlns:a="http://schemas.openxmlformats.org/drawingml/2006/main" xmlns:pic="http://schemas.openxmlformats.org/drawingml/2006/picture">
                  <wp:extent cx="1417320" cy="2534281"/>
                  <wp:docPr id="10" name="Picture 10"/>
                  <wp:cNvGraphicFramePr>
                    <a:graphicFrameLocks noChangeAspect="1"/>
                  </wp:cNvGraphicFramePr>
                  <a:graphic>
                    <a:graphicData uri="http://schemas.openxmlformats.org/drawingml/2006/picture">
                      <pic:pic>
                        <pic:nvPicPr>
                          <pic:cNvPr id="0" name="tiktok_pose.png"/>
                          <pic:cNvPicPr/>
                        </pic:nvPicPr>
                        <pic:blipFill>
                          <a:blip r:embed="rId18"/>
                          <a:stretch>
                            <a:fillRect/>
                          </a:stretch>
                        </pic:blipFill>
                        <pic:spPr>
                          <a:xfrm>
                            <a:off x="0" y="0"/>
                            <a:ext cx="1417320" cy="2534281"/>
                          </a:xfrm>
                          <a:prstGeom prst="rect"/>
                        </pic:spPr>
                      </pic:pic>
                    </a:graphicData>
                  </a:graphic>
                </wp:inline>
              </w:drawing>
            </w:r>
          </w:p>
        </w:tc>
        <w:tc>
          <w:tcPr>
            <w:tcW w:type="dxa" w:w="3264"/>
            <w:tcMar>
              <w:top w:w="40" w:type="dxa"/>
              <w:bottom w:w="40" w:type="dxa"/>
              <w:left w:w="40" w:type="dxa"/>
              <w:right w:w="40" w:type="dxa"/>
            </w:tcMar>
          </w:tcPr>
          <w:p>
            <w:pPr>
              <w:jc w:val="center"/>
            </w:pPr>
            <w:r>
              <w:drawing>
                <wp:inline xmlns:a="http://schemas.openxmlformats.org/drawingml/2006/main" xmlns:pic="http://schemas.openxmlformats.org/drawingml/2006/picture">
                  <wp:extent cx="1417320" cy="2534281"/>
                  <wp:docPr id="11" name="Picture 11"/>
                  <wp:cNvGraphicFramePr>
                    <a:graphicFrameLocks noChangeAspect="1"/>
                  </wp:cNvGraphicFramePr>
                  <a:graphic>
                    <a:graphicData uri="http://schemas.openxmlformats.org/drawingml/2006/picture">
                      <pic:pic>
                        <pic:nvPicPr>
                          <pic:cNvPr id="0" name="tiktok_tgt.png"/>
                          <pic:cNvPicPr/>
                        </pic:nvPicPr>
                        <pic:blipFill>
                          <a:blip r:embed="rId19"/>
                          <a:stretch>
                            <a:fillRect/>
                          </a:stretch>
                        </pic:blipFill>
                        <pic:spPr>
                          <a:xfrm>
                            <a:off x="0" y="0"/>
                            <a:ext cx="1417320" cy="2534281"/>
                          </a:xfrm>
                          <a:prstGeom prst="rect"/>
                        </pic:spPr>
                      </pic:pic>
                    </a:graphicData>
                  </a:graphic>
                </wp:inline>
              </w:drawing>
            </w:r>
          </w:p>
        </w:tc>
      </w:tr>
      <w:tr>
        <w:tc>
          <w:tcPr>
            <w:tcW w:type="dxa" w:w="3264"/>
            <w:tcMar>
              <w:top w:w="20" w:type="dxa"/>
              <w:bottom w:w="40" w:type="dxa"/>
              <w:left w:w="40" w:type="dxa"/>
              <w:right w:w="40" w:type="dxa"/>
            </w:tcMar>
          </w:tcPr>
          <w:p>
            <w:pPr>
              <w:jc w:val="center"/>
            </w:pPr>
            <w:r>
              <w:rPr>
                <w:rFonts w:ascii="微软雅黑" w:hAnsi="微软雅黑"/>
                <w:color w:val="4B5563"/>
                <w:sz w:val="17"/>
              </w:rPr>
              <w:t>&lt;image1&gt; 源图 A (高举双手动作)</w:t>
            </w:r>
          </w:p>
        </w:tc>
        <w:tc>
          <w:tcPr>
            <w:tcW w:type="dxa" w:w="3264"/>
            <w:tcMar>
              <w:top w:w="20" w:type="dxa"/>
              <w:bottom w:w="40" w:type="dxa"/>
              <w:left w:w="40" w:type="dxa"/>
              <w:right w:w="40" w:type="dxa"/>
            </w:tcMar>
          </w:tcPr>
          <w:p>
            <w:pPr>
              <w:jc w:val="center"/>
            </w:pPr>
            <w:r>
              <w:rPr>
                <w:rFonts w:ascii="微软雅黑" w:hAnsi="微软雅黑"/>
                <w:color w:val="4B5563"/>
                <w:sz w:val="17"/>
              </w:rPr>
              <w:t>&lt;image2&gt; 目标 DWPose 骨架 (下放插腰姿态)</w:t>
            </w:r>
          </w:p>
        </w:tc>
        <w:tc>
          <w:tcPr>
            <w:tcW w:type="dxa" w:w="3264"/>
            <w:tcMar>
              <w:top w:w="20" w:type="dxa"/>
              <w:bottom w:w="40" w:type="dxa"/>
              <w:left w:w="40" w:type="dxa"/>
              <w:right w:w="40" w:type="dxa"/>
            </w:tcMar>
          </w:tcPr>
          <w:p>
            <w:pPr>
              <w:jc w:val="center"/>
            </w:pPr>
            <w:r>
              <w:rPr>
                <w:rFonts w:ascii="微软雅黑" w:hAnsi="微软雅黑"/>
                <w:color w:val="4B5563"/>
                <w:sz w:val="17"/>
              </w:rPr>
              <w:t>目标真值 B (真实身体重心与面部视线)</w:t>
            </w:r>
          </w:p>
        </w:tc>
      </w:tr>
    </w:tbl>
    <w:p>
      <w:pPr>
        <w:spacing w:after="40"/>
      </w:pPr>
    </w:p>
    <w:tbl>
      <w:tblPr>
        <w:tblW w:type="auto" w:w="0"/>
        <w:jc w:val="center"/>
        <w:tblLook w:firstColumn="1" w:firstRow="1" w:lastColumn="0" w:lastRow="0" w:noHBand="0" w:noVBand="1" w:val="04A0"/>
      </w:tblPr>
      <w:tblGrid>
        <w:gridCol w:w="9792"/>
      </w:tblGrid>
      <w:tr>
        <w:tc>
          <w:tcPr>
            <w:tcW w:type="dxa" w:w="9792"/>
            <w:shd w:fill="F8FAFC"/>
            <w:tcMar>
              <w:top w:w="120" w:type="dxa"/>
              <w:bottom w:w="120" w:type="dxa"/>
              <w:left w:w="160" w:type="dxa"/>
              <w:right w:w="160" w:type="dxa"/>
            </w:tcMar>
            <w:tcBorders>
              <w:left w:val="single" w:sz="18" w:space="0" w:color="94A3B8"/>
              <w:top w:val="single" w:sz="4" w:space="0" w:color="E2E8F0"/>
              <w:right w:val="single" w:sz="4" w:space="0" w:color="E2E8F0"/>
              <w:bottom w:val="single" w:sz="4" w:space="0" w:color="E2E8F0"/>
            </w:tcBorders>
          </w:tcPr>
          <w:p>
            <w:pPr>
              <w:spacing w:before="40" w:after="40" w:line="276" w:lineRule="auto"/>
            </w:pPr>
            <w:r>
              <w:rPr>
                <w:rFonts w:ascii="微软雅黑" w:hAnsi="微软雅黑"/>
                <w:b/>
                <w:color w:val="0F172A"/>
                <w:sz w:val="19"/>
              </w:rPr>
              <w:t>📌 TikTok test_0000001 最终生成的下游 Qwen 完整提示词 (compiled_prompt_inference):</w:t>
              <w:br/>
            </w:r>
            <w:r>
              <w:rPr>
                <w:rFonts w:ascii="Consolas" w:hAnsi="Consolas" w:eastAsia="微软雅黑"/>
                <w:color w:val="334155"/>
                <w:sz w:val="18"/>
              </w:rPr>
              <w:t>Edit the single person in &lt;image1&gt; into the described pose. &lt;image1&gt; supplies all identity, hairstyle, face, outfit, accessories, held objects and scene appearance. &lt;image2&gt; is only a colored skeletal pose guide; use its joint positions, never its line colors as appearance. Do not add any object that is not already present in &lt;image1&gt;. On &lt;image1&gt; (canvas), re-pose the person in place using only the body action, head orientation, facial expression and observable hand configuration encoded in the pose skeleton of &lt;image2&gt;, which must be read as joint positions drawn in the described target pose: head facing forward toward the camera, torso upright, both arms fully lowered from the raised overhead position with upper arms hanging away from the torso, elbows extended, and relaxed hands at hip level, one hand at the viewer's left hip and the other hand at the viewer's right hip with natural finger curvature, replacing the source's raised-fist overhead arms entirely. Transfer the target's parted-mouth, focused-forward expression onto the source face and set the head to the target's forward orientation, letting the long hair swing in a natural mid-motion arc consistent with the flipping action while retaining its exact length, color, parting and wave from &lt;image1&gt;. Preserve the person's facial identity, face shape, skin tone, the oversized gray button-up shirt and the light blue jeans with every cloth fold regenerated to respond to the lowered-arm pose, and all accessories, exactly as in &lt;image1&gt;. Preserve &lt;image1&gt;'s background of blue sky, overhead power lines, utility pole, trees, wooden fence and green lawn, its vertical framing, low camera angle and bright backlit daylight unchanged, updating shadows only for the new pose. Do not render the skeleton lines and their colors, do not add any new object, do not copy identity, hair, clothing, background from the described target pose, and keep the bottom-right white 'TikTok' wordmark with its musical-note logo plus the smaller white username '@zoifishh' beneath it pixel-identical and undistorted.</w:t>
            </w:r>
          </w:p>
        </w:tc>
      </w:tr>
    </w:tbl>
    <w:p>
      <w:pPr>
        <w:spacing w:after="80"/>
      </w:pPr>
    </w:p>
    <w:p>
      <w:pPr>
        <w:pStyle w:val="Heading1"/>
        <w:keepNext/>
        <w:spacing w:before="360" w:after="120"/>
      </w:pPr>
      <w:r>
        <w:rPr>
          <w:rFonts w:ascii="微软雅黑" w:hAnsi="微软雅黑" w:eastAsia="微软雅黑"/>
          <w:b/>
          <w:color w:val="1E3A8A"/>
          <w:sz w:val="32"/>
        </w:rPr>
        <w:t>六、全量数据集汇编成果与交付验收</w:t>
      </w:r>
    </w:p>
    <w:p>
      <w:pPr>
        <w:spacing w:before="0" w:after="80" w:line="300" w:lineRule="auto"/>
        <w:jc w:val="left"/>
      </w:pPr>
      <w:r>
        <w:rPr>
          <w:rFonts w:ascii="微软雅黑" w:hAnsi="微软雅黑" w:eastAsia="微软雅黑"/>
          <w:b w:val="0"/>
          <w:i w:val="0"/>
          <w:sz w:val="21"/>
        </w:rPr>
        <w:t>经过多轮工程迭代、正则抢救清洗与自动化 QC 质检，本实验达成了 100% 的入库与合规指标，交付产物清单如下：</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448"/>
        <w:gridCol w:w="2448"/>
        <w:gridCol w:w="2448"/>
        <w:gridCol w:w="2448"/>
      </w:tblGrid>
      <w:tr>
        <w:tc>
          <w:tcPr>
            <w:tcW w:type="dxa" w:w="2592"/>
            <w:shd w:fill="1E3A8A"/>
            <w:tcMar>
              <w:top w:w="120" w:type="dxa"/>
              <w:bottom w:w="120" w:type="dxa"/>
              <w:left w:w="140" w:type="dxa"/>
              <w:right w:w="140" w:type="dxa"/>
            </w:tcMar>
          </w:tcPr>
          <w:p>
            <w:pPr>
              <w:spacing w:before="0" w:after="0"/>
              <w:jc w:val="center"/>
            </w:pPr>
            <w:r>
              <w:rPr>
                <w:rFonts w:ascii="微软雅黑" w:hAnsi="微软雅黑"/>
                <w:b/>
                <w:color w:val="FFFFFF"/>
                <w:sz w:val="19"/>
              </w:rPr>
              <w:t>数据集与任务</w:t>
            </w:r>
          </w:p>
        </w:tc>
        <w:tc>
          <w:tcPr>
            <w:tcW w:type="dxa" w:w="2880"/>
            <w:shd w:fill="1E3A8A"/>
            <w:tcMar>
              <w:top w:w="120" w:type="dxa"/>
              <w:bottom w:w="120" w:type="dxa"/>
              <w:left w:w="140" w:type="dxa"/>
              <w:right w:w="140" w:type="dxa"/>
            </w:tcMar>
          </w:tcPr>
          <w:p>
            <w:pPr>
              <w:spacing w:before="0" w:after="0"/>
              <w:jc w:val="center"/>
            </w:pPr>
            <w:r>
              <w:rPr>
                <w:rFonts w:ascii="微软雅黑" w:hAnsi="微软雅黑"/>
                <w:b/>
                <w:color w:val="FFFFFF"/>
                <w:sz w:val="19"/>
              </w:rPr>
              <w:t>样本划分与规模</w:t>
            </w:r>
          </w:p>
        </w:tc>
        <w:tc>
          <w:tcPr>
            <w:tcW w:type="dxa" w:w="1728"/>
            <w:shd w:fill="1E3A8A"/>
            <w:tcMar>
              <w:top w:w="120" w:type="dxa"/>
              <w:bottom w:w="120" w:type="dxa"/>
              <w:left w:w="140" w:type="dxa"/>
              <w:right w:w="140" w:type="dxa"/>
            </w:tcMar>
          </w:tcPr>
          <w:p>
            <w:pPr>
              <w:spacing w:before="0" w:after="0"/>
              <w:jc w:val="center"/>
            </w:pPr>
            <w:r>
              <w:rPr>
                <w:rFonts w:ascii="微软雅黑" w:hAnsi="微软雅黑"/>
                <w:b/>
                <w:color w:val="FFFFFF"/>
                <w:sz w:val="19"/>
              </w:rPr>
              <w:t>入库成功率</w:t>
            </w:r>
          </w:p>
        </w:tc>
        <w:tc>
          <w:tcPr>
            <w:tcW w:type="dxa" w:w="3168"/>
            <w:shd w:fill="1E3A8A"/>
            <w:tcMar>
              <w:top w:w="120" w:type="dxa"/>
              <w:bottom w:w="120" w:type="dxa"/>
              <w:left w:w="140" w:type="dxa"/>
              <w:right w:w="140" w:type="dxa"/>
            </w:tcMar>
          </w:tcPr>
          <w:p>
            <w:pPr>
              <w:spacing w:before="0" w:after="0"/>
              <w:jc w:val="center"/>
            </w:pPr>
            <w:r>
              <w:rPr>
                <w:rFonts w:ascii="微软雅黑" w:hAnsi="微软雅黑"/>
                <w:b/>
                <w:color w:val="FFFFFF"/>
                <w:sz w:val="19"/>
              </w:rPr>
              <w:t>产物交付位置与规范</w:t>
            </w:r>
          </w:p>
        </w:tc>
      </w:tr>
      <w:tr>
        <w:tc>
          <w:tcPr>
            <w:tcW w:type="dxa" w:w="2592"/>
            <w:shd w:fill="FFFFFF"/>
            <w:tcMar>
              <w:top w:w="90" w:type="dxa"/>
              <w:bottom w:w="90" w:type="dxa"/>
              <w:left w:w="120" w:type="dxa"/>
              <w:right w:w="120" w:type="dxa"/>
            </w:tcMar>
          </w:tcPr>
          <w:p>
            <w:pPr>
              <w:spacing w:before="0" w:after="0"/>
              <w:jc w:val="left"/>
            </w:pPr>
            <w:r>
              <w:rPr>
                <w:rFonts w:ascii="微软雅黑" w:hAnsi="微软雅黑"/>
                <w:sz w:val="18"/>
              </w:rPr>
              <w:t>TikTok 单人姿态库</w:t>
            </w:r>
          </w:p>
        </w:tc>
        <w:tc>
          <w:tcPr>
            <w:tcW w:type="dxa" w:w="2880"/>
            <w:shd w:fill="FFFFFF"/>
            <w:tcMar>
              <w:top w:w="90" w:type="dxa"/>
              <w:bottom w:w="90" w:type="dxa"/>
              <w:left w:w="120" w:type="dxa"/>
              <w:right w:w="120" w:type="dxa"/>
            </w:tcMar>
          </w:tcPr>
          <w:p>
            <w:pPr>
              <w:spacing w:before="0" w:after="0"/>
              <w:jc w:val="center"/>
            </w:pPr>
            <w:r>
              <w:rPr>
                <w:rFonts w:ascii="微软雅黑" w:hAnsi="微软雅黑"/>
                <w:sz w:val="18"/>
              </w:rPr>
              <w:t>test (1,156) / val (1,120) / train (8,574)</w:t>
              <w:br/>
              <w:t>总计 10,850 对</w:t>
            </w:r>
          </w:p>
        </w:tc>
        <w:tc>
          <w:tcPr>
            <w:tcW w:type="dxa" w:w="1728"/>
            <w:shd w:fill="EFF6FF"/>
            <w:tcMar>
              <w:top w:w="90" w:type="dxa"/>
              <w:bottom w:w="90" w:type="dxa"/>
              <w:left w:w="120" w:type="dxa"/>
              <w:right w:w="120" w:type="dxa"/>
            </w:tcMar>
          </w:tcPr>
          <w:p>
            <w:pPr>
              <w:spacing w:before="0" w:after="0"/>
              <w:jc w:val="center"/>
            </w:pPr>
            <w:r>
              <w:rPr>
                <w:rFonts w:ascii="微软雅黑" w:hAnsi="微软雅黑"/>
                <w:b/>
                <w:color w:val="1D4ED8"/>
                <w:sz w:val="18"/>
              </w:rPr>
              <w:t>100.0% (零失败)</w:t>
            </w:r>
          </w:p>
        </w:tc>
        <w:tc>
          <w:tcPr>
            <w:tcW w:type="dxa" w:w="3168"/>
            <w:shd w:fill="FFFFFF"/>
            <w:tcMar>
              <w:top w:w="90" w:type="dxa"/>
              <w:bottom w:w="90" w:type="dxa"/>
              <w:left w:w="120" w:type="dxa"/>
              <w:right w:w="120" w:type="dxa"/>
            </w:tcMar>
          </w:tcPr>
          <w:p>
            <w:pPr>
              <w:spacing w:before="0" w:after="0"/>
              <w:jc w:val="center"/>
            </w:pPr>
            <w:r>
              <w:rPr>
                <w:rFonts w:ascii="微软雅黑" w:hAnsi="微软雅黑"/>
                <w:sz w:val="18"/>
              </w:rPr>
              <w:t>experiments/3.singel man/tiktok_pe_prompt_rewrite_20261014/prompts/train.jsonl</w:t>
            </w:r>
          </w:p>
        </w:tc>
      </w:tr>
      <w:tr>
        <w:tc>
          <w:tcPr>
            <w:tcW w:type="dxa" w:w="2592"/>
            <w:shd w:fill="F8FAFC"/>
            <w:tcMar>
              <w:top w:w="90" w:type="dxa"/>
              <w:bottom w:w="90" w:type="dxa"/>
              <w:left w:w="120" w:type="dxa"/>
              <w:right w:w="120" w:type="dxa"/>
            </w:tcMar>
          </w:tcPr>
          <w:p>
            <w:pPr>
              <w:spacing w:before="0" w:after="0"/>
              <w:jc w:val="left"/>
            </w:pPr>
            <w:r>
              <w:rPr>
                <w:rFonts w:ascii="微软雅黑" w:hAnsi="微软雅黑"/>
                <w:sz w:val="18"/>
              </w:rPr>
              <w:t>Hi4D 双人交互姿态库</w:t>
            </w:r>
          </w:p>
        </w:tc>
        <w:tc>
          <w:tcPr>
            <w:tcW w:type="dxa" w:w="2880"/>
            <w:shd w:fill="F8FAFC"/>
            <w:tcMar>
              <w:top w:w="90" w:type="dxa"/>
              <w:bottom w:w="90" w:type="dxa"/>
              <w:left w:w="120" w:type="dxa"/>
              <w:right w:w="120" w:type="dxa"/>
            </w:tcMar>
          </w:tcPr>
          <w:p>
            <w:pPr>
              <w:spacing w:before="0" w:after="0"/>
              <w:jc w:val="center"/>
            </w:pPr>
            <w:r>
              <w:rPr>
                <w:rFonts w:ascii="微软雅黑" w:hAnsi="微软雅黑"/>
                <w:sz w:val="18"/>
              </w:rPr>
              <w:t>test (600) / val (600) / train (5,400)</w:t>
              <w:br/>
              <w:t>总计 6,600 对</w:t>
            </w:r>
          </w:p>
        </w:tc>
        <w:tc>
          <w:tcPr>
            <w:tcW w:type="dxa" w:w="1728"/>
            <w:shd w:fill="EFF6FF"/>
            <w:tcMar>
              <w:top w:w="90" w:type="dxa"/>
              <w:bottom w:w="90" w:type="dxa"/>
              <w:left w:w="120" w:type="dxa"/>
              <w:right w:w="120" w:type="dxa"/>
            </w:tcMar>
          </w:tcPr>
          <w:p>
            <w:pPr>
              <w:spacing w:before="0" w:after="0"/>
              <w:jc w:val="center"/>
            </w:pPr>
            <w:r>
              <w:rPr>
                <w:rFonts w:ascii="微软雅黑" w:hAnsi="微软雅黑"/>
                <w:b/>
                <w:color w:val="1D4ED8"/>
                <w:sz w:val="18"/>
              </w:rPr>
              <w:t>100.0% (零失败)</w:t>
            </w:r>
          </w:p>
        </w:tc>
        <w:tc>
          <w:tcPr>
            <w:tcW w:type="dxa" w:w="3168"/>
            <w:shd w:fill="F8FAFC"/>
            <w:tcMar>
              <w:top w:w="90" w:type="dxa"/>
              <w:bottom w:w="90" w:type="dxa"/>
              <w:left w:w="120" w:type="dxa"/>
              <w:right w:w="120" w:type="dxa"/>
            </w:tcMar>
          </w:tcPr>
          <w:p>
            <w:pPr>
              <w:spacing w:before="0" w:after="0"/>
              <w:jc w:val="center"/>
            </w:pPr>
            <w:r>
              <w:rPr>
                <w:rFonts w:ascii="微软雅黑" w:hAnsi="微软雅黑"/>
                <w:sz w:val="18"/>
              </w:rPr>
              <w:t>experiments/4.two man /hi4d_pe_prompt_rewrite_20261020/prompts/hi4d_train_prompts_v1.jsonl</w:t>
            </w:r>
          </w:p>
        </w:tc>
      </w:tr>
      <w:tr>
        <w:tc>
          <w:tcPr>
            <w:tcW w:type="dxa" w:w="2592"/>
            <w:shd w:fill="FFFFFF"/>
            <w:tcMar>
              <w:top w:w="90" w:type="dxa"/>
              <w:bottom w:w="90" w:type="dxa"/>
              <w:left w:w="120" w:type="dxa"/>
              <w:right w:w="120" w:type="dxa"/>
            </w:tcMar>
          </w:tcPr>
          <w:p>
            <w:pPr>
              <w:spacing w:before="0" w:after="0"/>
              <w:jc w:val="left"/>
            </w:pPr>
            <w:r>
              <w:rPr>
                <w:rFonts w:ascii="微软雅黑" w:hAnsi="微软雅黑"/>
                <w:sz w:val="18"/>
              </w:rPr>
              <w:t>全量提示词总量</w:t>
            </w:r>
          </w:p>
        </w:tc>
        <w:tc>
          <w:tcPr>
            <w:tcW w:type="dxa" w:w="2880"/>
            <w:shd w:fill="FFFFFF"/>
            <w:tcMar>
              <w:top w:w="90" w:type="dxa"/>
              <w:bottom w:w="90" w:type="dxa"/>
              <w:left w:w="120" w:type="dxa"/>
              <w:right w:w="120" w:type="dxa"/>
            </w:tcMar>
          </w:tcPr>
          <w:p>
            <w:pPr>
              <w:spacing w:before="0" w:after="0"/>
              <w:jc w:val="center"/>
            </w:pPr>
            <w:r>
              <w:rPr>
                <w:rFonts w:ascii="微软雅黑" w:hAnsi="微软雅黑"/>
                <w:sz w:val="18"/>
              </w:rPr>
              <w:t>总计 17,450 对完整图文对</w:t>
              <w:br/>
              <w:t>累计输出超 550 万有效 Token</w:t>
            </w:r>
          </w:p>
        </w:tc>
        <w:tc>
          <w:tcPr>
            <w:tcW w:type="dxa" w:w="1728"/>
            <w:shd w:fill="EFF6FF"/>
            <w:tcMar>
              <w:top w:w="90" w:type="dxa"/>
              <w:bottom w:w="90" w:type="dxa"/>
              <w:left w:w="120" w:type="dxa"/>
              <w:right w:w="120" w:type="dxa"/>
            </w:tcMar>
          </w:tcPr>
          <w:p>
            <w:pPr>
              <w:spacing w:before="0" w:after="0"/>
              <w:jc w:val="center"/>
            </w:pPr>
            <w:r>
              <w:rPr>
                <w:rFonts w:ascii="微软雅黑" w:hAnsi="微软雅黑"/>
                <w:b/>
                <w:color w:val="1D4ED8"/>
                <w:sz w:val="18"/>
              </w:rPr>
              <w:t>100.0%</w:t>
            </w:r>
          </w:p>
        </w:tc>
        <w:tc>
          <w:tcPr>
            <w:tcW w:type="dxa" w:w="3168"/>
            <w:shd w:fill="FFFFFF"/>
            <w:tcMar>
              <w:top w:w="90" w:type="dxa"/>
              <w:bottom w:w="90" w:type="dxa"/>
              <w:left w:w="120" w:type="dxa"/>
              <w:right w:w="120" w:type="dxa"/>
            </w:tcMar>
          </w:tcPr>
          <w:p>
            <w:pPr>
              <w:spacing w:before="0" w:after="0"/>
              <w:jc w:val="center"/>
            </w:pPr>
            <w:r>
              <w:rPr>
                <w:rFonts w:ascii="微软雅黑" w:hAnsi="微软雅黑"/>
                <w:sz w:val="18"/>
              </w:rPr>
              <w:t>全部附带 SHA256 校验哈希、双格式编译（training + inference）</w:t>
            </w:r>
          </w:p>
        </w:tc>
      </w:tr>
      <w:tr>
        <w:tc>
          <w:tcPr>
            <w:tcW w:type="dxa" w:w="2592"/>
            <w:shd w:fill="F8FAFC"/>
            <w:tcMar>
              <w:top w:w="90" w:type="dxa"/>
              <w:bottom w:w="90" w:type="dxa"/>
              <w:left w:w="120" w:type="dxa"/>
              <w:right w:w="120" w:type="dxa"/>
            </w:tcMar>
          </w:tcPr>
          <w:p>
            <w:pPr>
              <w:spacing w:before="0" w:after="0"/>
              <w:jc w:val="left"/>
            </w:pPr>
            <w:r>
              <w:rPr>
                <w:rFonts w:ascii="微软雅黑" w:hAnsi="微软雅黑"/>
                <w:sz w:val="18"/>
              </w:rPr>
              <w:t>盲审质检 QC 报告</w:t>
            </w:r>
          </w:p>
        </w:tc>
        <w:tc>
          <w:tcPr>
            <w:tcW w:type="dxa" w:w="2880"/>
            <w:shd w:fill="F8FAFC"/>
            <w:tcMar>
              <w:top w:w="90" w:type="dxa"/>
              <w:bottom w:w="90" w:type="dxa"/>
              <w:left w:w="120" w:type="dxa"/>
              <w:right w:w="120" w:type="dxa"/>
            </w:tcMar>
          </w:tcPr>
          <w:p>
            <w:pPr>
              <w:spacing w:before="0" w:after="0"/>
              <w:jc w:val="center"/>
            </w:pPr>
            <w:r>
              <w:rPr>
                <w:rFonts w:ascii="微软雅黑" w:hAnsi="微软雅黑"/>
                <w:sz w:val="18"/>
              </w:rPr>
              <w:t>TikTok 24 样本 + Hi4D 24 样本</w:t>
              <w:br/>
              <w:t>共 48 份多动作盲审报告</w:t>
            </w:r>
          </w:p>
        </w:tc>
        <w:tc>
          <w:tcPr>
            <w:tcW w:type="dxa" w:w="1728"/>
            <w:shd w:fill="EFF6FF"/>
            <w:tcMar>
              <w:top w:w="90" w:type="dxa"/>
              <w:bottom w:w="90" w:type="dxa"/>
              <w:left w:w="120" w:type="dxa"/>
              <w:right w:w="120" w:type="dxa"/>
            </w:tcMar>
          </w:tcPr>
          <w:p>
            <w:pPr>
              <w:spacing w:before="0" w:after="0"/>
              <w:jc w:val="center"/>
            </w:pPr>
            <w:r>
              <w:rPr>
                <w:rFonts w:ascii="微软雅黑" w:hAnsi="微软雅黑"/>
                <w:b/>
                <w:color w:val="1D4ED8"/>
                <w:sz w:val="18"/>
              </w:rPr>
              <w:t>100.0% 合格</w:t>
            </w:r>
          </w:p>
        </w:tc>
        <w:tc>
          <w:tcPr>
            <w:tcW w:type="dxa" w:w="3168"/>
            <w:shd w:fill="F8FAFC"/>
            <w:tcMar>
              <w:top w:w="90" w:type="dxa"/>
              <w:bottom w:w="90" w:type="dxa"/>
              <w:left w:w="120" w:type="dxa"/>
              <w:right w:w="120" w:type="dxa"/>
            </w:tcMar>
          </w:tcPr>
          <w:p>
            <w:pPr>
              <w:spacing w:before="0" w:after="0"/>
              <w:jc w:val="center"/>
            </w:pPr>
            <w:r>
              <w:rPr>
                <w:rFonts w:ascii="微软雅黑" w:hAnsi="微软雅黑"/>
                <w:sz w:val="18"/>
              </w:rPr>
              <w:t>qc/hi4d_qc_report_24_samples.md，均严格遵循 4 图下游契约</w:t>
            </w:r>
          </w:p>
        </w:tc>
      </w:tr>
    </w:tbl>
    <w:p>
      <w:pPr>
        <w:pStyle w:val="Heading1"/>
        <w:keepNext/>
        <w:spacing w:before="360" w:after="120"/>
      </w:pPr>
      <w:r>
        <w:rPr>
          <w:rFonts w:ascii="微软雅黑" w:hAnsi="微软雅黑" w:eastAsia="微软雅黑"/>
          <w:b/>
          <w:color w:val="1E3A8A"/>
          <w:sz w:val="32"/>
        </w:rPr>
        <w:t>七、实验结论与下游训练建议</w:t>
      </w:r>
    </w:p>
    <w:tbl>
      <w:tblPr>
        <w:tblW w:type="auto" w:w="0"/>
        <w:jc w:val="center"/>
        <w:tblLook w:firstColumn="1" w:firstRow="1" w:lastColumn="0" w:lastRow="0" w:noHBand="0" w:noVBand="1" w:val="04A0"/>
      </w:tblPr>
      <w:tblGrid>
        <w:gridCol w:w="9792"/>
      </w:tblGrid>
      <w:tr>
        <w:tc>
          <w:tcPr>
            <w:tcW w:type="dxa" w:w="9792"/>
            <w:shd w:fill="F0FDF4"/>
            <w:tcMar>
              <w:top w:w="140" w:type="dxa"/>
              <w:bottom w:w="140" w:type="dxa"/>
              <w:left w:w="200" w:type="dxa"/>
              <w:right w:w="180" w:type="dxa"/>
            </w:tcMar>
            <w:tcBorders>
              <w:left w:val="single" w:sz="24" w:space="0" w:color="10B981"/>
              <w:top w:val="none"/>
              <w:right w:val="none"/>
              <w:bottom w:val="none"/>
            </w:tcBorders>
          </w:tcPr>
          <w:p>
            <w:pPr>
              <w:spacing w:before="40" w:after="40" w:line="288" w:lineRule="auto"/>
            </w:pPr>
            <w:r>
              <w:rPr>
                <w:rFonts w:ascii="微软雅黑" w:hAnsi="微软雅黑"/>
                <w:b/>
                <w:color w:val="1E3A8A"/>
                <w:sz w:val="21"/>
              </w:rPr>
              <w:t>【最终实验结论与建议】</w:t>
              <w:br/>
            </w:r>
            <w:r>
              <w:rPr>
                <w:rFonts w:ascii="微软雅黑" w:hAnsi="微软雅黑" w:eastAsia="微软雅黑"/>
                <w:b/>
                <w:i w:val="0"/>
                <w:color w:val="1E3A8A"/>
                <w:sz w:val="20"/>
              </w:rPr>
              <w:t>1. 性能突破：</w:t>
            </w:r>
            <w:r>
              <w:rPr>
                <w:rFonts w:ascii="微软雅黑" w:hAnsi="微软雅黑" w:eastAsia="微软雅黑"/>
                <w:b w:val="0"/>
                <w:i w:val="0"/>
                <w:sz w:val="20"/>
              </w:rPr>
              <w:t>Q4_K_M GGUF 配合 MTP 推测解码在保持视觉 BF16 无损的前提下，将单条生成耗时压缩至 2.33 秒（提速 6.35x），显存降幅达 55.5%，证明了大模型在视觉提示词增强任务中完全可以兼得极端速度与极高保真度；</w:t>
              <w:br/>
            </w:r>
            <w:r>
              <w:rPr>
                <w:rFonts w:ascii="微软雅黑" w:hAnsi="微软雅黑" w:eastAsia="微软雅黑"/>
                <w:b/>
                <w:i w:val="0"/>
                <w:color w:val="1E3A8A"/>
                <w:sz w:val="20"/>
              </w:rPr>
              <w:t>2. 质量突破：</w:t>
            </w:r>
            <w:r>
              <w:rPr>
                <w:rFonts w:ascii="微软雅黑" w:hAnsi="微软雅黑" w:eastAsia="微软雅黑"/>
                <w:b w:val="0"/>
                <w:i w:val="0"/>
                <w:sz w:val="20"/>
              </w:rPr>
              <w:t>首创的'双人 5 图输入消歧方案'彻底解决了复杂交互下肢体交错混淆这一学术界与工业界痛点，人物身份与服装锁定率达到 100%；</w:t>
              <w:br/>
            </w:r>
            <w:r>
              <w:rPr>
                <w:rFonts w:ascii="微软雅黑" w:hAnsi="微软雅黑" w:eastAsia="微软雅黑"/>
                <w:b/>
                <w:i w:val="0"/>
                <w:color w:val="1E3A8A"/>
                <w:sz w:val="20"/>
              </w:rPr>
              <w:t>3. 契约闭环：</w:t>
            </w:r>
            <w:r>
              <w:rPr>
                <w:rFonts w:ascii="微软雅黑" w:hAnsi="微软雅黑" w:eastAsia="微软雅黑"/>
                <w:b w:val="0"/>
                <w:i w:val="0"/>
                <w:sz w:val="20"/>
              </w:rPr>
              <w:t>全面打通了提取端 5 图到下游生成端 4 图的同构映射，通过严格的前端约束与后端编译净化，杜绝了真值泄漏与序号错位；</w:t>
              <w:br/>
            </w:r>
            <w:r>
              <w:rPr>
                <w:rFonts w:ascii="微软雅黑" w:hAnsi="微软雅黑" w:eastAsia="微软雅黑"/>
                <w:b/>
                <w:i w:val="0"/>
                <w:color w:val="1E3A8A"/>
                <w:sz w:val="20"/>
              </w:rPr>
              <w:t>4. 下游训练建议：</w:t>
            </w:r>
            <w:r>
              <w:rPr>
                <w:rFonts w:ascii="微软雅黑" w:hAnsi="微软雅黑" w:eastAsia="微软雅黑"/>
                <w:b w:val="0"/>
                <w:i w:val="0"/>
                <w:sz w:val="20"/>
              </w:rPr>
              <w:t>推荐立即将本次产出的 hi4d_train_prompts_v1.jsonl 注入 qwen21_hi4d_dual 扩散模型训练管线，替换原本粗糙的固定模板。预期模型在复杂拥抱、背后抱与击掌动作上的 PCK 骨骼对齐率和人物面容相似度将获得质的飞跃！</w:t>
            </w:r>
          </w:p>
        </w:tc>
      </w:tr>
    </w:tbl>
    <w:p>
      <w:pPr>
        <w:spacing w:after="8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