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DeepGen用于人物姿态图像编辑的适配性评估</w:t>
      </w:r>
    </w:p>
    <w:p>
      <w:pPr>
        <w:pStyle w:val="Subtitle"/>
      </w:pPr>
      <w:r>
        <w:t>面向三维人体控制与双人交互编辑的技术评估报告</w:t>
      </w:r>
    </w:p>
    <w:p>
      <w:r>
        <w:rPr>
          <w:b w:val="0"/>
        </w:rPr>
        <w:t>评估对象  DeepGen 1.0    ｜    项目范围  研究目标三    ｜    资料截至  2026年9月8日</w:t>
      </w:r>
    </w:p>
    <w:p>
      <w:pPr>
        <w:pStyle w:val="Heading2"/>
      </w:pPr>
      <w:r>
        <w:t>评估结论</w:t>
      </w:r>
    </w:p>
    <w:p>
      <w:r>
        <w:rPr>
          <w:b/>
        </w:rPr>
        <w:t>建议将 DeepGen 纳入第三阶段的优先原型基座，先完成小规模适配验证，再决定是否承担正式实验。它已有参考图像编辑路径，生成主干规模低于6B，并提供可利用的控制残差接口；这些条件能够减少从头构建编辑模型的工作。单卡84GB适合启动冻结主干与轻量外挂的训练验证，但现阶段没有本项目的训练峰值显存或效果实测。</w:t>
      </w:r>
    </w:p>
    <w:p>
      <w:r>
        <w:rPr>
          <w:b w:val="0"/>
        </w:rPr>
        <w:t>DeepGen 的主要风险是双人接触和外观保持能力尚未得到专项验证。公开通用编辑成绩也不足以支持其优于 Qwen-Edit 的结论。外挂能够增强目标姿态约束，但不能预先保证完全弥补基座在手指结构、遮挡重建和服饰细节上的能力差距。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2016"/>
        <w:gridCol w:w="6034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评估维度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当前判断</w:t>
            </w:r>
          </w:p>
        </w:tc>
        <w:tc>
          <w:tcPr>
            <w:tcW w:type="dxa" w:w="60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对后续实验的含义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生成主干规模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符合当前口径</w:t>
            </w:r>
          </w:p>
        </w:tc>
        <w:tc>
          <w:tcPr>
            <w:tcW w:type="dxa" w:w="60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DiT 权重张量约2.47B；全组件存储口径约6.74B。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原生编辑与外挂接口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具备工程起点</w:t>
            </w:r>
          </w:p>
        </w:tc>
        <w:tc>
          <w:tcPr>
            <w:tcW w:type="dxa" w:w="60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保留参考图像路径，新增结构编码与残差注入分支。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双人交互与手部效果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需要专项验证</w:t>
            </w:r>
          </w:p>
        </w:tc>
        <w:tc>
          <w:tcPr>
            <w:tcW w:type="dxa" w:w="60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先检查身份交换、接触偏移和手部结构错误。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单卡84GB训练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值得直接验证</w:t>
            </w:r>
          </w:p>
        </w:tc>
        <w:tc>
          <w:tcPr>
            <w:tcW w:type="dxa" w:w="60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从512分辨率和小批次启动，再评估1024。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Qwen Edit 类适配要求</w:t>
            </w:r>
          </w:p>
        </w:tc>
        <w:tc>
          <w:tcPr>
            <w:tcW w:type="dxa" w:w="20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存在验收边界</w:t>
            </w:r>
          </w:p>
        </w:tc>
        <w:tc>
          <w:tcPr>
            <w:tcW w:type="dxa" w:w="60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使用 Qwen 编码器不等于属于 Qwen Image Edit 模型家族。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评估依据与适用范围</w:t>
      </w:r>
    </w:p>
    <w:p>
      <w:r>
        <w:rPr>
          <w:b w:val="0"/>
        </w:rPr>
        <w:t>本报告依据项目任务书、已提供的两份讨论材料、官方论文和公开代码编写。公开事实、权重元数据计算与拟议实验分别陈述。本文未运行 DeepGen 完整权重推理或训练，不将工程推断表述为性能实测。对于蒸馏路线，质量应按具体检查点评价，不能仅凭“蒸馏”判断优劣。</w:t>
      </w:r>
    </w:p>
    <w:p>
      <w:r>
        <w:rPr>
          <w:b w:val="0"/>
        </w:rPr>
        <w:t>任务书要求完成与 Qwen-Edit 类模型的适配，并以 Qwen-Edit 为主观评测基线。若验收严格限定 Qwen-Image-Edit 家族，DeepGen 不能替代该项交付；若允许同类图像编辑模型，则可作为技术候选。前一项约束应在正式选型时落实。</w:t>
      </w:r>
    </w:p>
    <w:p>
      <w:pPr>
        <w:pStyle w:val="Heading1"/>
        <w:pageBreakBefore/>
      </w:pPr>
      <w:r>
        <w:t>1 模型结构与项目接口</w:t>
      </w:r>
    </w:p>
    <w:p>
      <w:r>
        <w:rPr>
          <w:b w:val="0"/>
        </w:rPr>
        <w:t>DeepGen 以 Qwen2.5-VL 为视觉语言理解模块，通过 Stacked Channel Bridging（SCB，分层特征连接模块）向扩散 Transformer（DiT）提供语义条件；生成模块来源于 UniPic2-SD3.5M-Kontext。它具备图像编辑训练基础，因此本项目可以围绕已有参考图像条件增加几何控制。它并非 Qwen-Image-Edit 的小参数版本。</w:t>
      </w:r>
    </w:p>
    <w:p>
      <w:pPr>
        <w:spacing w:after="80"/>
      </w:pPr>
      <w:hyperlink r:id="rId11">
        <w:r>
          <w:rPr>
            <w:sz w:val="18"/>
            <w:color w:val="34536E"/>
          </w:rPr>
          <w:t xml:space="preserve">[1] DeepGen 官方项目与基准结果  </w:t>
        </w:r>
      </w:hyperlink>
      <w:hyperlink r:id="rId12">
        <w:r>
          <w:rPr>
            <w:sz w:val="18"/>
            <w:color w:val="34536E"/>
          </w:rPr>
          <w:t xml:space="preserve">[2] DeepGen 技术报告  arXiv 2602.12205  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2232"/>
        <w:gridCol w:w="5314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权重张量元素数</w:t>
            </w:r>
          </w:p>
        </w:tc>
        <w:tc>
          <w:tcPr>
            <w:tcW w:type="dxa" w:w="53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在本项目中的处理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生成 DiT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2,469,663,936</w:t>
            </w:r>
          </w:p>
        </w:tc>
        <w:tc>
          <w:tcPr>
            <w:tcW w:type="dxa" w:w="53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冻结，接收外挂输出的控制残差。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Qwen 视觉语言模块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3,754,622,976</w:t>
            </w:r>
          </w:p>
        </w:tc>
        <w:tc>
          <w:tcPr>
            <w:tcW w:type="dxa" w:w="53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冻结，保留发布版本的已合并权重。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SCB 连接模块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432,449,532</w:t>
            </w:r>
          </w:p>
        </w:tc>
        <w:tc>
          <w:tcPr>
            <w:tcW w:type="dxa" w:w="53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冻结，保留原有语义到生成条件的映射。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VAE 图像编解码器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83,819,683</w:t>
            </w:r>
          </w:p>
        </w:tc>
        <w:tc>
          <w:tcPr>
            <w:tcW w:type="dxa" w:w="53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冻结，编码源图和训练目标图。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合计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6,740,556,127</w:t>
            </w:r>
          </w:p>
        </w:tc>
        <w:tc>
          <w:tcPr>
            <w:tcW w:type="dxa" w:w="53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全组件统计，不作为主干6B限制的口径。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上表为已固定版本 safetensors 文件头中张量形状的乘积汇总，含存储层面的张量统计；共享参数与缓冲区仍应在模型加载后复核。其用途是核查体量和权重占用，不能替代运行时峰值测量。官方“3B＋2B”的简写也不应直接用于精确显存预算。</w:t>
      </w:r>
    </w:p>
    <w:p>
      <w:pPr>
        <w:spacing w:after="80"/>
      </w:pPr>
      <w:hyperlink r:id="rId13">
        <w:r>
          <w:rPr>
            <w:sz w:val="18"/>
            <w:color w:val="34536E"/>
          </w:rPr>
          <w:t xml:space="preserve">[3] DeepGen Diffusers 权重与配置  固定版本  </w:t>
        </w:r>
      </w:hyperlink>
    </w:p>
    <w:p>
      <w:pPr>
        <w:pStyle w:val="Heading2"/>
      </w:pPr>
      <w:r>
        <w:t>与第二阶段的衔接</w:t>
      </w:r>
    </w:p>
    <w:p>
      <w:r>
        <w:rPr>
          <w:b w:val="0"/>
        </w:rPr>
        <w:t>第三阶段的输入应明确包含源图、两人的稳定身份编号、重定向后的 SMPL-X、目标相机、接触部位对应关系及有效性标记。若希望保留目标角色外观，源图中的角色编号必须与第二阶段输出一致。仅有两组人体参数而缺少相机或身份对应，无法稳定构造图像控制信号。</w:t>
      </w:r>
    </w:p>
    <w:p>
      <w:r>
        <w:rPr>
          <w:b w:val="0"/>
        </w:rPr>
        <w:t>建议将网格投影成深度、法线、身体部位与人物实例图，并生成关节和接触区域提示。每个人的可见性、左右手和深度顺序需要保留。SMPL-X 描述人体表面，不描述服装外轮廓，训练时应允许衣物偏离裸身轮廓，避免把宽松服装压成身体形状。</w:t>
      </w:r>
    </w:p>
    <w:p>
      <w:pPr>
        <w:pStyle w:val="Heading2"/>
      </w:pPr>
      <w:r>
        <w:t>保留原有外观路径</w:t>
      </w:r>
    </w:p>
    <w:p>
      <w:r>
        <w:rPr>
          <w:b w:val="0"/>
        </w:rPr>
        <w:t>源图同时承担视觉语义条件与参考潜变量条件。后者参与生成 Transformer 的图像序列计算，是保留人物和服饰的现有基础。优先复用这条路径；只有身份和纹理的消融结果显示不足时，再增加按人物区分的外观特征分支。</w:t>
      </w:r>
    </w:p>
    <w:p>
      <w:pPr>
        <w:spacing w:after="80"/>
      </w:pPr>
      <w:hyperlink r:id="rId14">
        <w:r>
          <w:rPr>
            <w:sz w:val="18"/>
            <w:color w:val="34536E"/>
          </w:rPr>
          <w:t xml:space="preserve">[4] DeepGen Diffusers 推理与动态 Transformer 实现  </w:t>
        </w:r>
      </w:hyperlink>
    </w:p>
    <w:p>
      <w:pPr>
        <w:pStyle w:val="Heading1"/>
        <w:pageBreakBefore/>
      </w:pPr>
      <w:r>
        <w:t>2 外挂控制的适配方案</w:t>
      </w:r>
    </w:p>
    <w:p>
      <w:pPr>
        <w:pStyle w:val="Heading2"/>
      </w:pPr>
      <w:r>
        <w:t>建议的首版结构</w:t>
      </w:r>
    </w:p>
    <w:p>
      <w:r>
        <w:rPr>
          <w:b w:val="0"/>
        </w:rPr>
        <w:t>首版采用冻结 DeepGen 与可训练结构适配器。适配器融合目标深度、法线、人物编号、部位和接触提示，结合扩散时间步生成若干层的控制残差，注入 DiT。建议把100M至300M作为初始可训练参数预算，并通过实际参数统计约束规模；这个范围是工程方案，尚无充分证据说明它一定满足双人精细控制。</w:t>
      </w:r>
    </w:p>
    <w:p>
      <w:r>
        <w:rPr>
          <w:b w:val="0"/>
        </w:rPr>
        <w:t>不同控制图优先在通道或紧凑特征层融合。接触关系还应编码为“人物A的左手—人物B的右肩”等部位对应，辅以局部接触热图。单张二值接触图无法完整表达参与者、左右侧和遮挡顺序。控制分支输出层采用零初始化或零门控，使训练初始行为接近原始编辑模型。</w:t>
      </w:r>
    </w:p>
    <w:p>
      <w:pPr>
        <w:pStyle w:val="Heading2"/>
      </w:pPr>
      <w:r>
        <w:t>已存在的接口与必须修改的部分</w:t>
      </w:r>
    </w:p>
    <w:p>
      <w:r>
        <w:rPr>
          <w:b w:val="0"/>
        </w:rPr>
        <w:t>已核查的动态 Transformer 接受 block_controlnet_hidden_states，并在部分 Transformer 块之后加到隐藏状态；同时提供梯度检查点路径。由此可以避免重新设计主干内部的全部控制机制，但仍需实现适配器、数据管线和训练入口。</w:t>
      </w:r>
    </w:p>
    <w:p>
      <w:pPr>
        <w:spacing w:after="80"/>
      </w:pPr>
      <w:hyperlink r:id="rId14">
        <w:r>
          <w:rPr>
            <w:sz w:val="18"/>
            <w:color w:val="34536E"/>
          </w:rPr>
          <w:t xml:space="preserve">[4] DeepGen Diffusers 推理与动态 Transformer 实现  </w:t>
        </w:r>
      </w:hyperlink>
      <w:hyperlink r:id="rId15">
        <w:r>
          <w:rPr>
            <w:sz w:val="18"/>
            <w:color w:val="34536E"/>
          </w:rPr>
          <w:t xml:space="preserve">[5] DeepGen 动态 Transformer 源码  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7330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接口问题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适配要求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目标与参考图像序列拼接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残差应匹配目标 token、参考 token 与批内填充后的完整形状。首版可仅在目标区域输出非零残差。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Transformer 的特征组织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按实际层宽和序列长度投影；不能直接沿用 U-Net 多尺度特征的尺寸假设。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控制强度与条件丢弃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为不同几何信号设置消融开关；检查推理时 CFG 分支与训练时条件丢弃的一致性。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多视图和多控制图</w:t>
            </w:r>
          </w:p>
        </w:tc>
        <w:tc>
          <w:tcPr>
            <w:tcW w:type="dxa" w:w="73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同一目标相机渲染并同步裁剪。不能默认把每张控制图当作额外参考图直接拼入。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可以复用的研究工作</w:t>
      </w:r>
    </w:p>
    <w:p>
      <w:r>
        <w:rPr>
          <w:b w:val="0"/>
        </w:rPr>
        <w:t>T2I-Adapter 可提供轻量条件编码和冻结生成器训练的设计参考；CFLD 可提供人物外观与姿态分离的实验思路及数据准备经验。它们的预训练外挂与 DeepGen 的层结构、序列组织和条件维度并不一致，现成权重不能据此认定可直接加载。复用重点是数据处理、控制设计和评价协议。</w:t>
      </w:r>
    </w:p>
    <w:p>
      <w:pPr>
        <w:spacing w:after="80"/>
      </w:pPr>
      <w:hyperlink r:id="rId16">
        <w:r>
          <w:rPr>
            <w:sz w:val="18"/>
            <w:color w:val="34536E"/>
          </w:rPr>
          <w:t xml:space="preserve">[12] CFLD 姿态引导人物图像合成  </w:t>
        </w:r>
      </w:hyperlink>
      <w:hyperlink r:id="rId17">
        <w:r>
          <w:rPr>
            <w:sz w:val="18"/>
            <w:color w:val="34536E"/>
          </w:rPr>
          <w:t xml:space="preserve">[13] T2I Adapter 官方实现  </w:t>
        </w:r>
      </w:hyperlink>
    </w:p>
    <w:p>
      <w:r>
        <w:rPr>
          <w:b w:val="0"/>
        </w:rPr>
        <w:t>研究增量宜集中在双人身份绑定、接触部位对应和遮挡感知控制，以及在主干完全冻结时的有效注入方式。是否构成方法创新，需要结合后续消融与相关工作比较，单纯连接 SMPL-X 渲染器和现有控制接口不足以证明贡献。</w:t>
      </w:r>
    </w:p>
    <w:p>
      <w:pPr>
        <w:pStyle w:val="Heading1"/>
        <w:pageBreakBefore/>
      </w:pPr>
      <w:r>
        <w:t>3 效果证据与能力边界</w:t>
      </w:r>
    </w:p>
    <w:p>
      <w:r>
        <w:rPr>
          <w:b w:val="0"/>
        </w:rPr>
        <w:t>官方发布的编辑基准可以证明 DeepGen 具备通用编辑能力，但不能直接回答其对拥抱、握手等任务的适配效果。下表为作者报告的分数，并非本项目复测；各列评价体系不同，不能横向相加。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88"/>
        <w:gridCol w:w="1526"/>
        <w:gridCol w:w="1526"/>
        <w:gridCol w:w="1526"/>
        <w:gridCol w:w="1526"/>
      </w:tblGrid>
      <w:tr>
        <w:trPr>
          <w:cantSplit/>
          <w:tblHeader/>
        </w:trPr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GEdit EN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ImgEdit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RISE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UniREdit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DeepGen SFT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7.12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4.09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13.3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77.5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DeepGen RL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7.17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4.14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10.8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75.7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Qwen Image Edit 2509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7.54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4.35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8.9</w:t>
            </w:r>
          </w:p>
        </w:tc>
        <w:tc>
          <w:tcPr>
            <w:tcW w:type="dxa" w:w="152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56.5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在上述结果中，DeepGen 的通用编辑分数低于 Qwen-Image-Edit 2509，推理编辑分数较高。这个差异支持其具备一定指令理解能力，却不能证明几何精度、身份保持或手部质量更好。RL 版本也并未在每项编辑指标上超过 SFT，后续应核对检查点来源并进行任务内比较。</w:t>
      </w:r>
    </w:p>
    <w:p>
      <w:pPr>
        <w:spacing w:after="80"/>
      </w:pPr>
      <w:hyperlink r:id="rId11">
        <w:r>
          <w:rPr>
            <w:sz w:val="18"/>
            <w:color w:val="34536E"/>
          </w:rPr>
          <w:t xml:space="preserve">[1] DeepGen 官方项目与基准结果  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3096"/>
        <w:gridCol w:w="509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项目要求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DeepGen 可以利用的基础</w:t>
            </w:r>
          </w:p>
        </w:tc>
        <w:tc>
          <w:tcPr>
            <w:tcW w:type="dxa" w:w="5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最需要验证的失败情形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单人姿态变化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原生图像编辑与几何残差</w:t>
            </w:r>
          </w:p>
        </w:tc>
        <w:tc>
          <w:tcPr>
            <w:tcW w:type="dxa" w:w="5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原姿态残留，或姿态变对但服装纹理改变。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双人身份保持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源图参考潜变量</w:t>
            </w:r>
          </w:p>
        </w:tc>
        <w:tc>
          <w:tcPr>
            <w:tcW w:type="dxa" w:w="5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两人换脸、衣服串色、肢体归属错误。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拥抱与搂肩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目标深度与实例控制</w:t>
            </w:r>
          </w:p>
        </w:tc>
        <w:tc>
          <w:tcPr>
            <w:tcW w:type="dxa" w:w="5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前后关系错误，手臂消失或多出肢体。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握手与牵手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手部关节及接触区域提示</w:t>
            </w:r>
          </w:p>
        </w:tc>
        <w:tc>
          <w:tcPr>
            <w:tcW w:type="dxa" w:w="5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手指粘连，接触位置偏移，左右手混淆。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不同体型的重定向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目标人体形状与投影</w:t>
            </w:r>
          </w:p>
        </w:tc>
        <w:tc>
          <w:tcPr>
            <w:tcW w:type="dxa" w:w="5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回退到源人体比例，或破坏衣物形状。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对效果的合理预期</w:t>
      </w:r>
    </w:p>
    <w:p>
      <w:r>
        <w:rPr>
          <w:b w:val="0"/>
        </w:rPr>
        <w:t>小幅、可见关节充分的单人动作适合作为接通控制的初始任务；双人整体构图与躯干方向是下一步验证对象。大角度转身、严重遮挡、交叉手指等情况需要重建源图中不存在的外观信息，应单独统计，不能以平均图像分数掩盖其失败。以上顺序是实验设计判断，不是模型已有能力分级。</w:t>
      </w:r>
    </w:p>
    <w:p>
      <w:r>
        <w:rPr>
          <w:b w:val="0"/>
        </w:rPr>
        <w:t>主干冻结保留了基座参数，但不自动保证输出身份不变。控制残差过强仍可能覆盖外观条件。若提高控制强度持续导致身份或纹理损失，应优先检查条件冲突、数据对应和人物绑定，再考虑增加外挂容量。</w:t>
      </w:r>
    </w:p>
    <w:p>
      <w:pPr>
        <w:pStyle w:val="Heading1"/>
        <w:pageBreakBefore/>
      </w:pPr>
      <w:r>
        <w:t>4 数据复用与训练样本构建</w:t>
      </w:r>
    </w:p>
    <w:p>
      <w:r>
        <w:rPr>
          <w:b w:val="0"/>
        </w:rPr>
        <w:t>现有数据能够减少采集和标注成本，但没有一个已核查的数据源能够直接覆盖“任意目标体型重定向后的双人真实编辑图像”。建议先利用同一人物或同一对人物的视频帧构造真实源图与目标图，再补充三维几何监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952"/>
        <w:gridCol w:w="524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数据源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适合的用途</w:t>
            </w:r>
          </w:p>
        </w:tc>
        <w:tc>
          <w:tcPr>
            <w:tcW w:type="dxa" w:w="52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使用边界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CHI3D [8]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双人接触控制与验证</w:t>
            </w:r>
          </w:p>
        </w:tc>
        <w:tc>
          <w:tcPr>
            <w:tcW w:type="dxa" w:w="52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有双方 SMPL-X；第二人的网格属于伪真值。接触签名不是逐帧完整标注。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EgoBody [9]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真实双人外观与姿态配对</w:t>
            </w:r>
          </w:p>
        </w:tc>
        <w:tc>
          <w:tcPr>
            <w:tcW w:type="dxa" w:w="52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选择第三人称 Kinect 视图中双方可见的帧；不能把第一人称图像当作双人完整源图。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Hi4D [10]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近距离双人遮挡与交互</w:t>
            </w:r>
          </w:p>
        </w:tc>
        <w:tc>
          <w:tcPr>
            <w:tcW w:type="dxa" w:w="52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发布的人体参数为 SMPL，不能直接当作带完整手部标注的 SMPL-X。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BEDLAM [11]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几何控制预训练与体型覆盖</w:t>
            </w:r>
          </w:p>
        </w:tc>
        <w:tc>
          <w:tcPr>
            <w:tcW w:type="dxa" w:w="52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合成图像存在域差异；筛选稳定相机和合适人物实例。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DeepFashion 配对 [12]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单人姿态与服饰保持预实验</w:t>
            </w:r>
          </w:p>
        </w:tc>
        <w:tc>
          <w:tcPr>
            <w:tcW w:type="dxa" w:w="52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不能直接承担双人接触监督；三维参数需要另行估计。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CHI3D 的631段交互记录各包含一个建立接触的标注时间点，四个视角对应2524组图像与接触签名。可将这些标注点用于接触验证；对其余帧，从网格距离生成的接触标签应标为派生标签，并记录阈值和可信度，不能等同于人工标注。</w:t>
      </w:r>
    </w:p>
    <w:p>
      <w:pPr>
        <w:spacing w:after="80"/>
      </w:pPr>
      <w:hyperlink r:id="rId18">
        <w:r>
          <w:rPr>
            <w:sz w:val="18"/>
            <w:color w:val="34536E"/>
          </w:rPr>
          <w:t xml:space="preserve">[8] CHI3D 数据集与接触标注说明  </w:t>
        </w:r>
      </w:hyperlink>
      <w:hyperlink r:id="rId19">
        <w:r>
          <w:rPr>
            <w:sz w:val="18"/>
            <w:color w:val="34536E"/>
          </w:rPr>
          <w:t xml:space="preserve">[9] EgoBody 数据集与第三人称视图说明  </w:t>
        </w:r>
      </w:hyperlink>
      <w:hyperlink r:id="rId20">
        <w:r>
          <w:rPr>
            <w:sz w:val="18"/>
            <w:color w:val="34536E"/>
          </w:rPr>
          <w:t xml:space="preserve">[10] Hi4D 数据格式说明  </w:t>
        </w:r>
      </w:hyperlink>
      <w:hyperlink r:id="rId21">
        <w:r>
          <w:rPr>
            <w:sz w:val="18"/>
            <w:color w:val="34536E"/>
          </w:rPr>
          <w:t xml:space="preserve">[11] BEDLAM 官方数据集  </w:t>
        </w:r>
      </w:hyperlink>
      <w:hyperlink r:id="rId16">
        <w:r>
          <w:rPr>
            <w:sz w:val="18"/>
            <w:color w:val="34536E"/>
          </w:rPr>
          <w:t xml:space="preserve">[12] CFLD 姿态引导人物图像合成  </w:t>
        </w:r>
      </w:hyperlink>
    </w:p>
    <w:p>
      <w:pPr>
        <w:pStyle w:val="Heading2"/>
      </w:pPr>
      <w:r>
        <w:t>推荐的数据单元</w:t>
      </w:r>
    </w:p>
    <w:p>
      <w:r>
        <w:rPr>
          <w:b w:val="0"/>
        </w:rPr>
        <w:t>每个训练单元保存源图、真实目标图、目标 SMPL-X 与相机、两人身份对应、控制渲染图、接触标签来源及有效区域。源图与目标图优先来自同一人物组合、同一场景和同一相机。相机移动或人物出画的样本需要过滤或显式建模，否则背景变化会混入姿态学习目标。</w:t>
      </w:r>
    </w:p>
    <w:p>
      <w:r>
        <w:rPr>
          <w:b w:val="0"/>
        </w:rPr>
        <w:t>在有真实目标图的阶段，使用该图对应的目标几何监督编辑。第二阶段任意重定向产生的体型和动作组合通常没有真实目标照片，应作为泛化测试，或通过可控合成数据补充，不能将不对应的原视频帧当作目标图。</w:t>
      </w:r>
    </w:p>
    <w:p>
      <w:pPr>
        <w:pStyle w:val="Heading2"/>
      </w:pPr>
      <w:r>
        <w:t>数据划分和准入</w:t>
      </w:r>
    </w:p>
    <w:p>
      <w:r>
        <w:rPr>
          <w:b w:val="0"/>
        </w:rPr>
        <w:t>按人物组合与视频序列划分训练和测试，保留不同身高差、接触动作和遮挡程度。连续帧不应随机分散到两侧。下载前记录各数据集、人体模型和权重的许可及项目用途范围；可公开获取不等于可以用于任意企业项目训练。</w:t>
      </w:r>
    </w:p>
    <w:p>
      <w:pPr>
        <w:pStyle w:val="Heading1"/>
        <w:pageBreakBefore/>
      </w:pPr>
      <w:r>
        <w:t>5 冻结主干的训练实现</w:t>
      </w:r>
    </w:p>
    <w:p>
      <w:pPr>
        <w:pStyle w:val="Heading2"/>
      </w:pPr>
      <w:r>
        <w:t>先建立可验证的冻结边界</w:t>
      </w:r>
    </w:p>
    <w:p>
      <w:r>
        <w:rPr>
          <w:b w:val="0"/>
        </w:rPr>
        <w:t>冻结 DiT、视觉语言模块、SCB 和 VAE，只把新增适配器参数交给优化器。发布模型中已经合并的 VLM LoRA 属于所选基座权重，应随基座冻结；不要替换成未合并的原始 Qwen 编码器而仍假定模型等价。实际加载代码优先读取权重目录内的合并 VLM。</w:t>
      </w:r>
    </w:p>
    <w:p>
      <w:pPr>
        <w:spacing w:after="80"/>
      </w:pPr>
      <w:hyperlink r:id="rId14">
        <w:r>
          <w:rPr>
            <w:sz w:val="18"/>
            <w:color w:val="34536E"/>
          </w:rPr>
          <w:t xml:space="preserve">[4] DeepGen Diffusers 推理与动态 Transformer 实现  </w:t>
        </w:r>
      </w:hyperlink>
    </w:p>
    <w:p>
      <w:r>
        <w:rPr>
          <w:b w:val="0"/>
        </w:rPr>
        <w:t>原生 SFT 配置包含 freeze_transformer=False 和 LoRA 设置，其目的并非本项目的外挂训练。因此不能直接启动官方 SFT 配置后声称主干保持不变。需要独立配置冻结边界、优化器参数组、适配器保存格式以及推理接入方式。</w:t>
      </w:r>
    </w:p>
    <w:p>
      <w:pPr>
        <w:spacing w:after="80"/>
      </w:pPr>
      <w:hyperlink r:id="rId22">
        <w:r>
          <w:rPr>
            <w:sz w:val="18"/>
            <w:color w:val="34536E"/>
          </w:rPr>
          <w:t xml:space="preserve">[6] DeepGen 原生 SFT 配置  </w:t>
        </w:r>
      </w:hyperlink>
      <w:hyperlink r:id="rId23">
        <w:r>
          <w:rPr>
            <w:sz w:val="18"/>
            <w:color w:val="34536E"/>
          </w:rPr>
          <w:t xml:space="preserve">[7] DeepGen 训练说明  </w:t>
        </w:r>
      </w:hyperlink>
    </w:p>
    <w:p>
      <w:pPr>
        <w:pStyle w:val="Heading2"/>
      </w:pPr>
      <w:r>
        <w:t>冻结权重仍需要反向传播</w:t>
      </w:r>
    </w:p>
    <w:p>
      <w:r>
        <w:rPr>
          <w:b w:val="0"/>
        </w:rPr>
        <w:t>当适配器残差进入 DiT 后，损失到适配器之间的计算图必须保留。将 DiT 全部包在 no_grad 中会切断这条路径。正确做法是冻结参数的 requires_grad，同时允许对输入残差求梯度；仅对无需回传的源图编码等路径关闭梯度。公开推理 pipeline 使用 no_grad，训练必须调用可微的底层模块。</w:t>
      </w:r>
    </w:p>
    <w:p>
      <w:pPr>
        <w:spacing w:after="80"/>
      </w:pPr>
      <w:hyperlink r:id="rId14">
        <w:r>
          <w:rPr>
            <w:sz w:val="18"/>
            <w:color w:val="34536E"/>
          </w:rPr>
          <w:t xml:space="preserve">[4] DeepGen Diffusers 推理与动态 Transformer 实现  </w:t>
        </w:r>
      </w:hyperlink>
      <w:hyperlink r:id="rId24">
        <w:r>
          <w:rPr>
            <w:sz w:val="18"/>
            <w:color w:val="34536E"/>
          </w:rPr>
          <w:t xml:space="preserve">[14] PyTorch 自动微分机制  </w:t>
        </w:r>
      </w:hyperlink>
    </w:p>
    <w:p>
      <w:pPr>
        <w:pStyle w:val="Heading2"/>
      </w:pPr>
      <w:r>
        <w:t>训练目标与推进顺序</w:t>
      </w:r>
    </w:p>
    <w:p>
      <w:r>
        <w:rPr>
          <w:b w:val="0"/>
        </w:rPr>
        <w:t>首轮沿用原模型的流匹配或去噪训练定义，核对噪声插值、时间步采样、预测目标和潜变量缩放。一个训练样本随机选择一个时间步即可建立基础监督，初期不需要把整条多步采样过程展开反向传播。</w:t>
      </w:r>
    </w:p>
    <w:p>
      <w:r>
        <w:rPr>
          <w:b w:val="0"/>
        </w:rPr>
        <w:t>先用单人配对图验证结构控制，再加入双人整体姿态，最后提高接触和手部样本比例。对手部或接触区域增加损失权重时，应区分真实标注与伪标签；潜空间加权误差只是局部训练代理，不能作为手部解剖结构正确的保证。</w:t>
      </w:r>
    </w:p>
    <w:p>
      <w:r>
        <w:rPr>
          <w:b w:val="0"/>
        </w:rPr>
        <w:t>身份、衣物和背景损失应在对应区域与有效可见区域内定义。姿态变化后直接逐像素约束整个人体会惩罚合理变化。需要图像空间辅助监督时，可对适当噪声区间的预测图进行低频解码评估，并计入其额外显存与计算成本。</w:t>
      </w:r>
    </w:p>
    <w:p>
      <w:pPr>
        <w:pStyle w:val="Heading2"/>
      </w:pPr>
      <w:r>
        <w:t>验明训练确实有效</w:t>
      </w:r>
    </w:p>
    <w:p>
      <w:r>
        <w:rPr>
          <w:b w:val="0"/>
        </w:rPr>
        <w:t>训练前后核对基座参数校验值；完成一次反向后确认适配器有有效梯度而基座没有参数梯度；关闭适配器应恢复原始编辑行为。每个检查点同时保存基座版本、控制图规范和适配器配置，以便在另一台机器上重现。</w:t>
      </w:r>
    </w:p>
    <w:p>
      <w:pPr>
        <w:pStyle w:val="Heading1"/>
        <w:pageBreakBefore/>
      </w:pPr>
      <w:r>
        <w:t>6 训练显存预算与84GB设备适配</w:t>
      </w:r>
    </w:p>
    <w:p>
      <w:r>
        <w:rPr>
          <w:b w:val="0"/>
        </w:rPr>
        <w:t>建议按单卡84GB资源推进首轮实验，而非先追加硬件。该判断基于约2.47B的冻结 DiT、可缓存的编码路径和100M至300M适配器设定。它说明资源条件值得开展实测，不代表已证明1024分辨率的任意配置都能运行。</w:t>
      </w:r>
    </w:p>
    <w:p>
      <w:pPr>
        <w:pStyle w:val="Heading2"/>
      </w:pPr>
      <w:r>
        <w:t>可以计算的静态占用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52"/>
        <w:gridCol w:w="5112"/>
        <w:gridCol w:w="1930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计算假设</w:t>
            </w:r>
          </w:p>
        </w:tc>
        <w:tc>
          <w:tcPr>
            <w:tcW w:type="dxa" w:w="19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估算占用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全套冻结权重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所有组件统一 BF16，每元素2字节</w:t>
            </w:r>
          </w:p>
        </w:tc>
        <w:tc>
          <w:tcPr>
            <w:tcW w:type="dxa" w:w="19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12.56 GiB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仅 DiT 驻留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编码结果已缓存且相应模块移出 GPU</w:t>
            </w:r>
          </w:p>
        </w:tc>
        <w:tc>
          <w:tcPr>
            <w:tcW w:type="dxa" w:w="19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4.60 GiB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100M适配器训练状态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保守按每参数16字节预算</w:t>
            </w:r>
          </w:p>
        </w:tc>
        <w:tc>
          <w:tcPr>
            <w:tcW w:type="dxa" w:w="19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1.49 GiB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300M适配器训练状态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同上，含梯度与优化器等状态</w:t>
            </w:r>
          </w:p>
        </w:tc>
        <w:tc>
          <w:tcPr>
            <w:tcW w:type="dxa" w:w="19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4.47 GiB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全权重加300M适配器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以上静态项求和</w:t>
            </w:r>
          </w:p>
        </w:tc>
        <w:tc>
          <w:tcPr>
            <w:tcW w:type="dxa" w:w="19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17.03 GiB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DiT加300M适配器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缓存条件下的静态项求和</w:t>
            </w:r>
          </w:p>
        </w:tc>
        <w:tc>
          <w:tcPr>
            <w:tcW w:type="dxa" w:w="193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9.07 GiB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 w:val="0"/>
        </w:rPr>
        <w:t>GiB按2³⁰字节计算。16字节是用于预算的保守混合精度 Adam 状态口径，实际取决于优化器实现和主权重副本。发布连接模块以FP32存储；若加载后仍保留FP32，全权重静态项比上表增加约0.81 GiB。文件体积、权重占用和训练峰值必须分别报告。</w:t>
      </w:r>
    </w:p>
    <w:p>
      <w:r>
        <w:rPr>
          <w:b w:val="0"/>
        </w:rPr>
        <w:t>训练峰值还包含 DiT 与适配器激活、注意力临时张量、图像编码、图像空间辅助损失、内存分配器预留和运行时开销。现有核查无法给这些动态项一个可靠的单值，因此不把17.03 GiB表述为训练只需17GB。</w:t>
      </w:r>
    </w:p>
    <w:p>
      <w:pPr>
        <w:pStyle w:val="Heading2"/>
      </w:pPr>
      <w:r>
        <w:t>分辨率为什么影响明显</w:t>
      </w:r>
    </w:p>
    <w:p>
      <w:r>
        <w:rPr>
          <w:b w:val="0"/>
        </w:rPr>
        <w:t>按 VAE 八倍下采样、DiT 两倍分块计算，512方图约1024个图像 token，1024方图约4096个。若同时使用同分辨率源图与目标图，图像序列分别约2048和8192个 token，另有语义条件。高效注意力减少显式注意力矩阵的存储，但序列加长仍显著增加计算与激活成本。</w:t>
      </w:r>
    </w:p>
    <w:p>
      <w:pPr>
        <w:spacing w:after="80"/>
      </w:pPr>
      <w:hyperlink r:id="rId13">
        <w:r>
          <w:rPr>
            <w:sz w:val="18"/>
            <w:color w:val="34536E"/>
          </w:rPr>
          <w:t xml:space="preserve">[3] DeepGen Diffusers 权重与配置  固定版本  </w:t>
        </w:r>
      </w:hyperlink>
      <w:hyperlink r:id="rId14">
        <w:r>
          <w:rPr>
            <w:sz w:val="18"/>
            <w:color w:val="34536E"/>
          </w:rPr>
          <w:t xml:space="preserve">[4] DeepGen Diffusers 推理与动态 Transformer 实现  </w:t>
        </w:r>
      </w:hyperlink>
    </w:p>
    <w:p>
      <w:pPr>
        <w:pStyle w:val="Heading2"/>
      </w:pPr>
      <w:r>
        <w:t>建议的设备使用顺序</w:t>
      </w:r>
    </w:p>
    <w:p>
      <w:r>
        <w:rPr>
          <w:b w:val="0"/>
        </w:rPr>
        <w:t>先测512×512、微批次1、BF16、梯度检查点和高效注意力；通过后测试768和1024。梯度累积用于增加有效批次。将冻结且确定性的 VLM、SCB 和 VAE 编码离线缓存，可进一步腾出显存，但缓存必须与提示词、裁剪、分辨率和模型版本一致。</w:t>
      </w:r>
    </w:p>
    <w:p>
      <w:r>
        <w:rPr>
          <w:b w:val="0"/>
        </w:rPr>
        <w:t>以48GB作为512原型的可尝试档位，以80至84GB作为1024原型的优先资源档位；二者均为规划建议，不是最低显存实测。最终以设备实际可用容量为准，连续训练稳定后留出约10%至15%余量。</w:t>
      </w:r>
    </w:p>
    <w:p>
      <w:pPr>
        <w:pStyle w:val="Heading1"/>
        <w:pageBreakBefore/>
      </w:pPr>
      <w:r>
        <w:t>7 分阶段验证与正式实验设计</w:t>
      </w:r>
    </w:p>
    <w:p>
      <w:r>
        <w:rPr>
          <w:b w:val="0"/>
        </w:rPr>
        <w:t>推荐用四步验证决定是否继续投入。下表样本量为启动建议，不代表达到统计显著性所需的最终规模。前两步通过后，再扩大双人数据和训练时长。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816"/>
        <w:gridCol w:w="445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建议设置</w:t>
            </w:r>
          </w:p>
        </w:tc>
        <w:tc>
          <w:tcPr>
            <w:tcW w:type="dxa" w:w="44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</w:tcPr>
          <w:p>
            <w:pPr>
              <w:spacing w:line="269" w:lineRule="auto" w:after="20"/>
            </w:pPr>
            <w:r>
              <w:rPr>
                <w:b/>
                <w:sz w:val="20"/>
              </w:rPr>
              <w:t>应取得的证据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原生能力复现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20例单人、40例双人；固定模型、提示和随机种子</w:t>
            </w:r>
          </w:p>
        </w:tc>
        <w:tc>
          <w:tcPr>
            <w:tcW w:type="dxa" w:w="44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确定原始外观保持水平，记录接触与手部失败类型。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外挂连通验证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16至32组配对图过拟合；512、微批次1</w:t>
            </w:r>
          </w:p>
        </w:tc>
        <w:tc>
          <w:tcPr>
            <w:tcW w:type="dxa" w:w="44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主干校验值不变；梯度有效；更换目标控制能产生对应变化。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小规模有效性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500至2000组去重训练对；按人物与序列留出验证集</w:t>
            </w:r>
          </w:p>
        </w:tc>
        <w:tc>
          <w:tcPr>
            <w:tcW w:type="dxa" w:w="44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line="269" w:lineRule="auto" w:after="20"/>
            </w:pPr>
            <w:r>
              <w:rPr>
                <w:sz w:val="20"/>
              </w:rPr>
              <w:t>相同基座下，姿态与交互改善，同时身份和服饰没有不可接受退化。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正式对照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确定数据与协议后扩大样本；多随机种子</w:t>
            </w:r>
          </w:p>
        </w:tc>
        <w:tc>
          <w:tcPr>
            <w:tcW w:type="dxa" w:w="44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8F9FA"/>
          </w:tcPr>
          <w:p>
            <w:pPr>
              <w:spacing w:line="269" w:lineRule="auto" w:after="20"/>
            </w:pPr>
            <w:r>
              <w:rPr>
                <w:sz w:val="20"/>
              </w:rPr>
              <w:t>与消融及 Qwen-Edit 基线比较，报告置信区间与失败分布。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必须保留的对照</w:t>
      </w:r>
    </w:p>
    <w:p>
      <w:r>
        <w:rPr>
          <w:b w:val="0"/>
        </w:rPr>
        <w:t>同一 DeepGen 基座下比较原生编辑、仅二维姿态控制、三维几何控制、加入接触关系的完整方案。分别移除人物编号、深度或接触条件，可以判断增益来自哪类信号。保持训练数据和主要计算设置一致，单独报告可训练参数量。</w:t>
      </w:r>
    </w:p>
    <w:p>
      <w:r>
        <w:rPr>
          <w:b w:val="0"/>
        </w:rPr>
        <w:t>Qwen-Edit 对照需固定具体版本、输入信息、提示词、输出分辨率、采样预算及选择样本的规则。原生基线与额外几何条件方案的比较属于完整系统比较，不应表述为同等输入下的纯基座优劣。若基线可以接收目标渲染图，应另列信息尽量匹配的对照。</w:t>
      </w:r>
    </w:p>
    <w:p>
      <w:pPr>
        <w:pStyle w:val="Heading2"/>
      </w:pPr>
      <w:r>
        <w:t>评价应对应任务书</w:t>
      </w:r>
    </w:p>
    <w:p>
      <w:r>
        <w:rPr>
          <w:b w:val="0"/>
        </w:rPr>
        <w:t>姿态采用可见关节的误差或正确率；身份按人物A和B分别匹配评价；服装和背景在有效区域评价。严重遮挡下的姿态估计与接触重建会产生评估器误差，应将其作为代理指标，并保留人工核验。整体图像相似度不能代替接触正确性。</w:t>
      </w:r>
    </w:p>
    <w:p>
      <w:r>
        <w:rPr>
          <w:b w:val="0"/>
        </w:rPr>
        <w:t>主观盲评分别记录身份可辨识、动作准确、交互自然及手部结构。任务书的“相比 Qwen-Edit 基线高于5%”应明确分母、平局处理及相对提升或百分点口径，不能自行改写为固定55%胜率。统计应按案例或人物组合聚类，避免把同一案例多个随机种子视作完全独立样本。</w:t>
      </w:r>
    </w:p>
    <w:p>
      <w:pPr>
        <w:pStyle w:val="Heading2"/>
      </w:pPr>
      <w:r>
        <w:t>显存测量与停止条件</w:t>
      </w:r>
    </w:p>
    <w:p>
      <w:r>
        <w:rPr>
          <w:b w:val="0"/>
        </w:rPr>
        <w:t>预热并实际执行优化器更新后，连续运行至少100步，记录 max_memory_allocated、max_memory_reserved、设备侧占用、每步时间和精度设置；另测验证采样峰值。若控制失效，先排查坐标、残差形状和梯度；若几何已对齐却持续出现换脸或手部错误，再决定扩展外观分支或更换基座。</w:t>
      </w:r>
    </w:p>
    <w:p>
      <w:pPr>
        <w:pStyle w:val="Heading1"/>
        <w:pageBreakBefore/>
      </w:pPr>
      <w:r>
        <w:t>8 选型建议与依据索引</w:t>
      </w:r>
    </w:p>
    <w:p>
      <w:r>
        <w:rPr>
          <w:b w:val="0"/>
        </w:rPr>
        <w:t>技术选型上，建议以 DeepGen 完成首轮可行性实验。它使主要工作集中在几何条件编码、双人接触控制和评价，而无需重新训练一个完整图像编辑模型。84GB设备足以支持有价值的验证起点；训练规模应由第7节的峰值测量与效果结果逐步确定。</w:t>
      </w:r>
    </w:p>
    <w:p>
      <w:r>
        <w:rPr>
          <w:b w:val="0"/>
        </w:rPr>
        <w:t>正式实验主基座的确定应同时满足三个条件：冻结边界与控制接口已验证；在留出人物上的结构改善没有明显损害外观；项目方确认其满足模型适配范围。若严格要求 Qwen-Image-Edit 家族，DeepGen仍可用于方法预研，但不能宣称已经完成该家族的适配交付。</w:t>
      </w:r>
    </w:p>
    <w:p>
      <w:pPr>
        <w:pStyle w:val="Heading2"/>
      </w:pPr>
      <w:r>
        <w:t>版本与可复核材料</w:t>
      </w:r>
    </w:p>
    <w:p>
      <w:r>
        <w:rPr>
          <w:b w:val="0"/>
        </w:rPr>
        <w:t>权重核查版本为 deepgenteam/DeepGen-1.0-diffusers，revision 85c2ed257b9406d8531965c68e140dc7fdb81382。代码核查使用 DeepGen GitHub revision fbaaaf4ae1c79450d6a34b30beb4f59840568c69。Diffusers 发行版与论文 SFT 或 RL 检查点的具体映射应在下载时再次核对，不能仅按仓库名称推定。</w:t>
      </w:r>
    </w:p>
    <w:p>
      <w:r>
        <w:rPr>
          <w:b w:val="0"/>
        </w:rPr>
        <w:t>项目依据为《人物图像姿态编辑任务书_v3.docx》及两份已提供的讨论材料。参数统计方法与结果已保存在本报告同目录的 audit_checkpoint_headers.py 和 checkpoint_audit.json。当前证据包括公开资料与元数据核查，不包括目标设备训练实测。</w:t>
      </w:r>
    </w:p>
    <w:p>
      <w:pPr>
        <w:pStyle w:val="Heading2"/>
      </w:pPr>
      <w:r>
        <w:t>公开依据</w:t>
      </w:r>
    </w:p>
    <w:p>
      <w:pPr>
        <w:spacing w:after="80"/>
      </w:pPr>
      <w:hyperlink r:id="rId11">
        <w:r>
          <w:rPr>
            <w:sz w:val="18"/>
            <w:color w:val="34536E"/>
          </w:rPr>
          <w:t xml:space="preserve">[1] DeepGen 官方项目与基准结果  </w:t>
        </w:r>
      </w:hyperlink>
    </w:p>
    <w:p>
      <w:pPr>
        <w:spacing w:after="80"/>
      </w:pPr>
      <w:hyperlink r:id="rId12">
        <w:r>
          <w:rPr>
            <w:sz w:val="18"/>
            <w:color w:val="34536E"/>
          </w:rPr>
          <w:t xml:space="preserve">[2] DeepGen 技术报告  arXiv 2602.12205  </w:t>
        </w:r>
      </w:hyperlink>
    </w:p>
    <w:p>
      <w:pPr>
        <w:spacing w:after="80"/>
      </w:pPr>
      <w:hyperlink r:id="rId13">
        <w:r>
          <w:rPr>
            <w:sz w:val="18"/>
            <w:color w:val="34536E"/>
          </w:rPr>
          <w:t xml:space="preserve">[3] DeepGen Diffusers 权重与配置  固定版本  </w:t>
        </w:r>
      </w:hyperlink>
    </w:p>
    <w:p>
      <w:pPr>
        <w:spacing w:after="80"/>
      </w:pPr>
      <w:hyperlink r:id="rId14">
        <w:r>
          <w:rPr>
            <w:sz w:val="18"/>
            <w:color w:val="34536E"/>
          </w:rPr>
          <w:t xml:space="preserve">[4] DeepGen Diffusers 推理与动态 Transformer 实现  </w:t>
        </w:r>
      </w:hyperlink>
    </w:p>
    <w:p>
      <w:pPr>
        <w:spacing w:after="80"/>
      </w:pPr>
      <w:hyperlink r:id="rId15">
        <w:r>
          <w:rPr>
            <w:sz w:val="18"/>
            <w:color w:val="34536E"/>
          </w:rPr>
          <w:t xml:space="preserve">[5] DeepGen 动态 Transformer 源码  </w:t>
        </w:r>
      </w:hyperlink>
    </w:p>
    <w:p>
      <w:pPr>
        <w:spacing w:after="80"/>
      </w:pPr>
      <w:hyperlink r:id="rId22">
        <w:r>
          <w:rPr>
            <w:sz w:val="18"/>
            <w:color w:val="34536E"/>
          </w:rPr>
          <w:t xml:space="preserve">[6] DeepGen 原生 SFT 配置  </w:t>
        </w:r>
      </w:hyperlink>
    </w:p>
    <w:p>
      <w:pPr>
        <w:spacing w:after="80"/>
      </w:pPr>
      <w:hyperlink r:id="rId23">
        <w:r>
          <w:rPr>
            <w:sz w:val="18"/>
            <w:color w:val="34536E"/>
          </w:rPr>
          <w:t xml:space="preserve">[7] DeepGen 训练说明  </w:t>
        </w:r>
      </w:hyperlink>
    </w:p>
    <w:p>
      <w:pPr>
        <w:spacing w:after="80"/>
      </w:pPr>
      <w:hyperlink r:id="rId18">
        <w:r>
          <w:rPr>
            <w:sz w:val="18"/>
            <w:color w:val="34536E"/>
          </w:rPr>
          <w:t xml:space="preserve">[8] CHI3D 数据集与接触标注说明  </w:t>
        </w:r>
      </w:hyperlink>
    </w:p>
    <w:p>
      <w:pPr>
        <w:spacing w:after="80"/>
      </w:pPr>
      <w:hyperlink r:id="rId19">
        <w:r>
          <w:rPr>
            <w:sz w:val="18"/>
            <w:color w:val="34536E"/>
          </w:rPr>
          <w:t xml:space="preserve">[9] EgoBody 数据集与第三人称视图说明  </w:t>
        </w:r>
      </w:hyperlink>
    </w:p>
    <w:p>
      <w:pPr>
        <w:spacing w:after="80"/>
      </w:pPr>
      <w:hyperlink r:id="rId20">
        <w:r>
          <w:rPr>
            <w:sz w:val="18"/>
            <w:color w:val="34536E"/>
          </w:rPr>
          <w:t xml:space="preserve">[10] Hi4D 数据格式说明  </w:t>
        </w:r>
      </w:hyperlink>
    </w:p>
    <w:p>
      <w:pPr>
        <w:spacing w:after="80"/>
      </w:pPr>
      <w:hyperlink r:id="rId21">
        <w:r>
          <w:rPr>
            <w:sz w:val="18"/>
            <w:color w:val="34536E"/>
          </w:rPr>
          <w:t xml:space="preserve">[11] BEDLAM 官方数据集  </w:t>
        </w:r>
      </w:hyperlink>
    </w:p>
    <w:p>
      <w:pPr>
        <w:spacing w:after="80"/>
      </w:pPr>
      <w:hyperlink r:id="rId16">
        <w:r>
          <w:rPr>
            <w:sz w:val="18"/>
            <w:color w:val="34536E"/>
          </w:rPr>
          <w:t xml:space="preserve">[12] CFLD 姿态引导人物图像合成  </w:t>
        </w:r>
      </w:hyperlink>
    </w:p>
    <w:p>
      <w:pPr>
        <w:spacing w:after="80"/>
      </w:pPr>
      <w:hyperlink r:id="rId17">
        <w:r>
          <w:rPr>
            <w:sz w:val="18"/>
            <w:color w:val="34536E"/>
          </w:rPr>
          <w:t xml:space="preserve">[13] T2I Adapter 官方实现  </w:t>
        </w:r>
      </w:hyperlink>
    </w:p>
    <w:p>
      <w:pPr>
        <w:spacing w:after="80"/>
      </w:pPr>
      <w:hyperlink r:id="rId24">
        <w:r>
          <w:rPr>
            <w:sz w:val="18"/>
            <w:color w:val="34536E"/>
          </w:rPr>
          <w:t xml:space="preserve">[14] PyTorch 自动微分机制  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技术评估  ·  2026年9月8日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8"/>
      </w:rPr>
      <w:t>DeepGen 人物姿态图像编辑适配性评估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180"/>
      <w:contextualSpacing/>
    </w:pPr>
    <w:rPr>
      <w:rFonts w:asciiTheme="majorHAnsi" w:eastAsiaTheme="majorEastAsia" w:hAnsiTheme="majorHAnsi" w:cstheme="majorBidi" w:ascii="Calibri" w:hAnsi="Calibri" w:eastAsia="微软雅黑"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80"/>
    </w:pPr>
    <w:rPr>
      <w:rFonts w:asciiTheme="majorHAnsi" w:eastAsiaTheme="majorEastAsia" w:hAnsiTheme="majorHAnsi" w:cstheme="majorBidi" w:ascii="Calibri" w:hAnsi="Calibri" w:eastAsia="微软雅黑"/>
      <w:i w:val="0"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微软雅黑"/>
      <w:b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epgenteam/deepgen" TargetMode="External"/><Relationship Id="rId12" Type="http://schemas.openxmlformats.org/officeDocument/2006/relationships/hyperlink" Target="https://arxiv.org/abs/2602.12205" TargetMode="External"/><Relationship Id="rId13" Type="http://schemas.openxmlformats.org/officeDocument/2006/relationships/hyperlink" Target="https://huggingface.co/deepgenteam/DeepGen-1.0-diffusers/tree/85c2ed257b9406d8531965c68e140dc7fdb81382" TargetMode="External"/><Relationship Id="rId14" Type="http://schemas.openxmlformats.org/officeDocument/2006/relationships/hyperlink" Target="https://huggingface.co/deepgenteam/DeepGen-1.0-diffusers/blob/85c2ed257b9406d8531965c68e140dc7fdb81382/deepgen_pipeline.py" TargetMode="External"/><Relationship Id="rId15" Type="http://schemas.openxmlformats.org/officeDocument/2006/relationships/hyperlink" Target="https://github.com/deepgenteam/deepgen/blob/fbaaaf4ae1c79450d6a34b30beb4f59840568c69/src/models/sd3_kontext/transformer_sd3_dynamic.py" TargetMode="External"/><Relationship Id="rId16" Type="http://schemas.openxmlformats.org/officeDocument/2006/relationships/hyperlink" Target="https://github.com/YanzuoLu/CFLD" TargetMode="External"/><Relationship Id="rId17" Type="http://schemas.openxmlformats.org/officeDocument/2006/relationships/hyperlink" Target="https://github.com/TencentARC/T2I-Adapter" TargetMode="External"/><Relationship Id="rId18" Type="http://schemas.openxmlformats.org/officeDocument/2006/relationships/hyperlink" Target="https://ci3d.imar.ro/chi3d" TargetMode="External"/><Relationship Id="rId19" Type="http://schemas.openxmlformats.org/officeDocument/2006/relationships/hyperlink" Target="https://github.com/sanweiliti/EgoBody" TargetMode="External"/><Relationship Id="rId20" Type="http://schemas.openxmlformats.org/officeDocument/2006/relationships/hyperlink" Target="https://github.com/yifeiyin04/Hi4D/blob/main/dataset.md" TargetMode="External"/><Relationship Id="rId21" Type="http://schemas.openxmlformats.org/officeDocument/2006/relationships/hyperlink" Target="https://bedlam.is.tue.mpg.de/" TargetMode="External"/><Relationship Id="rId22" Type="http://schemas.openxmlformats.org/officeDocument/2006/relationships/hyperlink" Target="https://github.com/deepgenteam/deepgen/blob/fbaaaf4ae1c79450d6a34b30beb4f59840568c69/configs/finetune/deepgen_joint_sft_scb.py" TargetMode="External"/><Relationship Id="rId23" Type="http://schemas.openxmlformats.org/officeDocument/2006/relationships/hyperlink" Target="https://github.com/deepgenteam/deepgen/blob/main/TRAIN.md" TargetMode="External"/><Relationship Id="rId24" Type="http://schemas.openxmlformats.org/officeDocument/2006/relationships/hyperlink" Target="https://docs.pytorch.org/docs/main/notes/autogr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DeepGen用于人物姿态图像编辑的适配性评估</dc:title>
  <dc:subject>华为项目研究目标三的基座适配与训练资源评估</dc:subject>
  <dc:creator>项目技术评估</dc:creator>
  <cp:keywords>DeepGen, SMPL-X, 图像编辑, 双人交互, 外挂训练, 显存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