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微软雅黑" w:hAnsi="微软雅黑" w:eastAsia="微软雅黑"/>
          <w:b/>
          <w:i w:val="0"/>
          <w:color w:val="1A365D"/>
          <w:sz w:val="44"/>
        </w:rPr>
        <w:t>人物图像姿态编辑系统</w:t>
        <w:br/>
        <w:t>架构设计与核心技术方案</w:t>
      </w:r>
    </w:p>
    <w:p>
      <w:pPr>
        <w:spacing w:before="0" w:after="360"/>
        <w:jc w:val="center"/>
      </w:pPr>
      <w:r>
        <w:rPr>
          <w:rFonts w:ascii="微软雅黑" w:hAnsi="微软雅黑" w:eastAsia="微软雅黑"/>
          <w:b w:val="0"/>
          <w:i/>
          <w:color w:val="4A5568"/>
          <w:sz w:val="24"/>
        </w:rPr>
        <w:t>——基于 DeepGen 1.0 (5B) 统一生成基座与接触感知几何适配器 (Contact-Aware Adapter)</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A365D"/>
              <w:top w:val="none"/>
              <w:bottom w:val="none"/>
              <w:right w:val="none"/>
            </w:tcBorders>
          </w:tcPr>
          <w:p>
            <w:pPr>
              <w:spacing w:before="40" w:after="40" w:line="288" w:lineRule="auto"/>
            </w:pPr>
            <w:r>
              <w:rPr>
                <w:rFonts w:ascii="微软雅黑" w:hAnsi="微软雅黑" w:eastAsia="微软雅黑"/>
                <w:b/>
                <w:i w:val="0"/>
                <w:color w:val="1A365D"/>
                <w:sz w:val="22"/>
              </w:rPr>
              <w:t>📌 项目元数据与核心技术概览</w:t>
              <w:br/>
            </w:r>
            <w:r>
              <w:rPr>
                <w:rFonts w:ascii="微软雅黑" w:hAnsi="微软雅黑" w:eastAsia="微软雅黑"/>
                <w:b w:val="0"/>
                <w:i w:val="0"/>
                <w:color w:val="2D3748"/>
                <w:sz w:val="20"/>
              </w:rPr>
              <w:t>项目名称：高保真人物图像姿态编辑与双人交互生成系统</w:t>
              <w:br/>
              <w:t>研发目标：单人多样态姿态重定向、双人近距离接触姿态编辑（握手、拥抱、搭肩、牵手）、身高体型解耦</w:t>
              <w:br/>
              <w:t>基座模型：DeepGen 1.0（5B 统一多模态生成模型：Qwen2.5-VL-3B + SCB 跨层连接器 + SD3.5M Kontext 2B DiT）</w:t>
              <w:br/>
              <w:t>外挂适配：接触感知多尺度几何适配器（Contact-Aware Multi-Scale Geometry Adapter, 150M~250M 可训练参数）</w:t>
              <w:br/>
              <w:t>几何先验：3D SMPL-X 参数化网格 + 表面法向 + 密集深度 + 局部接触拓扑流形</w:t>
              <w:br/>
              <w:t>文档版本：V1.0 (正式版) | 面向企业技术合作验收与工程落地</w:t>
            </w:r>
          </w:p>
        </w:tc>
      </w:tr>
    </w:tbl>
    <w:p>
      <w:pPr>
        <w:spacing w:after="80"/>
      </w:pPr>
    </w:p>
    <w:p>
      <w:pPr>
        <w:keepNext/>
        <w:spacing w:before="360" w:after="160"/>
      </w:pPr>
      <w:r>
        <w:rPr>
          <w:rFonts w:ascii="微软雅黑" w:hAnsi="微软雅黑" w:eastAsia="微软雅黑"/>
          <w:b/>
          <w:i w:val="0"/>
          <w:color w:val="1A365D"/>
          <w:sz w:val="32"/>
        </w:rPr>
        <w:t>第一章 项目背景与总体研发目标</w:t>
      </w:r>
    </w:p>
    <w:p>
      <w:pPr>
        <w:keepNext/>
        <w:spacing w:before="240" w:after="120"/>
      </w:pPr>
      <w:r>
        <w:rPr>
          <w:rFonts w:ascii="微软雅黑" w:hAnsi="微软雅黑" w:eastAsia="微软雅黑"/>
          <w:b/>
          <w:i w:val="0"/>
          <w:color w:val="2B6CB0"/>
          <w:sz w:val="26"/>
        </w:rPr>
        <w:t>1.1 业务背景与技术痛点</w:t>
      </w:r>
    </w:p>
    <w:p>
      <w:pPr>
        <w:spacing w:before="0" w:after="120" w:line="300" w:lineRule="auto"/>
      </w:pPr>
      <w:r>
        <w:rPr>
          <w:rFonts w:ascii="微软雅黑" w:hAnsi="微软雅黑" w:eastAsia="微软雅黑"/>
          <w:b w:val="0"/>
          <w:i w:val="0"/>
          <w:color w:val="2D3748"/>
          <w:sz w:val="21"/>
        </w:rPr>
        <w:t>人物图像姿态编辑是计算机视觉与生成式 AI 领域的关键技术，广泛应用于虚拟试衣、数字人驱动、多媒体内容创作及影视特效合成等场景。然而，随着编辑需求从传统的“单人静态姿态微调”跨越至“单人极端大姿态”与“复杂双人近距离交互动作（如拥抱、搭肩、握手、牵手）”，现有业界主流的图像编辑模型（包括开源 ControlNet-SD1.5/SDXL、InstructPix2Pix 以及部分纯文本驱动大模型）暴露了三大世界级瓶颈：</w:t>
      </w:r>
    </w:p>
    <w:p>
      <w:pPr>
        <w:pStyle w:val="ListBullet"/>
        <w:spacing w:before="40" w:after="60" w:line="288" w:lineRule="auto"/>
      </w:pPr>
      <w:r>
        <w:rPr>
          <w:rFonts w:ascii="微软雅黑" w:hAnsi="微软雅黑" w:eastAsia="微软雅黑"/>
          <w:b/>
          <w:i w:val="0"/>
          <w:color w:val="2B6CB0"/>
          <w:sz w:val="21"/>
        </w:rPr>
        <w:t>1. 肢体穿模与空间结构错位：</w:t>
      </w:r>
      <w:r>
        <w:rPr>
          <w:rFonts w:ascii="微软雅黑" w:hAnsi="微软雅黑" w:eastAsia="微软雅黑"/>
          <w:b w:val="0"/>
          <w:i w:val="0"/>
          <w:color w:val="2D3748"/>
          <w:sz w:val="21"/>
        </w:rPr>
        <w:t>传统 2D 骨骼关节点（OpenPose）缺乏前后深度及物理体积约束，在双人拥抱、搭肩等近距离身体贴合动作中，肢体常出现贯穿穿模、手臂融合断裂等反常解剖学错误。</w:t>
      </w:r>
    </w:p>
    <w:p>
      <w:pPr>
        <w:pStyle w:val="ListBullet"/>
        <w:spacing w:before="40" w:after="60" w:line="288" w:lineRule="auto"/>
      </w:pPr>
      <w:r>
        <w:rPr>
          <w:rFonts w:ascii="微软雅黑" w:hAnsi="微软雅黑" w:eastAsia="微软雅黑"/>
          <w:b/>
          <w:i w:val="0"/>
          <w:color w:val="2B6CB0"/>
          <w:sz w:val="21"/>
        </w:rPr>
        <w:t>2. 交互接触点（Contact Points）难以闭环：</w:t>
      </w:r>
      <w:r>
        <w:rPr>
          <w:rFonts w:ascii="微软雅黑" w:hAnsi="微软雅黑" w:eastAsia="微软雅黑"/>
          <w:b w:val="0"/>
          <w:i w:val="0"/>
          <w:color w:val="2D3748"/>
          <w:sz w:val="21"/>
        </w:rPr>
        <w:t>握手时手掌未能真正咬合、搭肩时手部漂浮悬空。生成模型缺乏三维表面接触流形拓扑的引导，无法建立物理交互接触区域的语义一致性。</w:t>
      </w:r>
    </w:p>
    <w:p>
      <w:pPr>
        <w:pStyle w:val="ListBullet"/>
        <w:spacing w:before="40" w:after="60" w:line="288" w:lineRule="auto"/>
      </w:pPr>
      <w:r>
        <w:rPr>
          <w:rFonts w:ascii="微软雅黑" w:hAnsi="微软雅黑" w:eastAsia="微软雅黑"/>
          <w:b/>
          <w:i w:val="0"/>
          <w:color w:val="2B6CB0"/>
          <w:sz w:val="21"/>
        </w:rPr>
        <w:t>3. 身份服饰与姿态变动深度耦合：</w:t>
      </w:r>
      <w:r>
        <w:rPr>
          <w:rFonts w:ascii="微软雅黑" w:hAnsi="微软雅黑" w:eastAsia="微软雅黑"/>
          <w:b w:val="0"/>
          <w:i w:val="0"/>
          <w:color w:val="2D3748"/>
          <w:sz w:val="21"/>
        </w:rPr>
        <w:t>大角度姿态编辑或体型调整时，人物面部身份特征发生偏移（Face Drift），服装材质、格纹与拼接细节丢失或变形，难以实现严格的身份保持与体型解耦。</w:t>
      </w:r>
    </w:p>
    <w:p>
      <w:pPr>
        <w:keepNext/>
        <w:spacing w:before="240" w:after="120"/>
      </w:pPr>
      <w:r>
        <w:rPr>
          <w:rFonts w:ascii="微软雅黑" w:hAnsi="微软雅黑" w:eastAsia="微软雅黑"/>
          <w:b/>
          <w:i w:val="0"/>
          <w:color w:val="2B6CB0"/>
          <w:sz w:val="26"/>
        </w:rPr>
        <w:t>1.2 课题任务书考核指标与技术突破</w:t>
      </w:r>
    </w:p>
    <w:p>
      <w:pPr>
        <w:spacing w:before="0" w:after="120" w:line="300" w:lineRule="auto"/>
      </w:pPr>
      <w:r>
        <w:rPr>
          <w:rFonts w:ascii="微软雅黑" w:hAnsi="微软雅黑" w:eastAsia="微软雅黑"/>
          <w:b w:val="0"/>
          <w:i w:val="0"/>
          <w:color w:val="2D3748"/>
          <w:sz w:val="21"/>
        </w:rPr>
        <w:t>根据《人物图像姿态编辑任务书_v3.docx》的技术规划，本项目需达成以下核心指标：</w:t>
      </w:r>
    </w:p>
    <w:p>
      <w:pPr>
        <w:pStyle w:val="ListBullet"/>
        <w:spacing w:before="40" w:after="60" w:line="288" w:lineRule="auto"/>
      </w:pPr>
      <w:r>
        <w:rPr>
          <w:rFonts w:ascii="微软雅黑" w:hAnsi="微软雅黑" w:eastAsia="微软雅黑"/>
          <w:b/>
          <w:i w:val="0"/>
          <w:color w:val="2B6CB0"/>
          <w:sz w:val="21"/>
        </w:rPr>
        <w:t>身高体型解耦：</w:t>
      </w:r>
      <w:r>
        <w:rPr>
          <w:rFonts w:ascii="微软雅黑" w:hAnsi="微软雅黑" w:eastAsia="微软雅黑"/>
          <w:b w:val="0"/>
          <w:i w:val="0"/>
          <w:color w:val="2D3748"/>
          <w:sz w:val="21"/>
        </w:rPr>
        <w:t>人物身高的高低、体型的胖瘦相对估计与重定向准确率最终不低于 80%。</w:t>
      </w:r>
    </w:p>
    <w:p>
      <w:pPr>
        <w:pStyle w:val="ListBullet"/>
        <w:spacing w:before="40" w:after="60" w:line="288" w:lineRule="auto"/>
      </w:pPr>
      <w:r>
        <w:rPr>
          <w:rFonts w:ascii="微软雅黑" w:hAnsi="微软雅黑" w:eastAsia="微软雅黑"/>
          <w:b/>
          <w:i w:val="0"/>
          <w:color w:val="2B6CB0"/>
          <w:sz w:val="21"/>
        </w:rPr>
        <w:t>双人交互姿态合理性：</w:t>
      </w:r>
      <w:r>
        <w:rPr>
          <w:rFonts w:ascii="微软雅黑" w:hAnsi="微软雅黑" w:eastAsia="微软雅黑"/>
          <w:b w:val="0"/>
          <w:i w:val="0"/>
          <w:color w:val="2D3748"/>
          <w:sz w:val="21"/>
        </w:rPr>
        <w:t>握手、拥抱、搭肩、牵手、并排搂肩等典型双人交互姿态生成主观合理比例不低于 90%。</w:t>
      </w:r>
    </w:p>
    <w:p>
      <w:pPr>
        <w:pStyle w:val="ListBullet"/>
        <w:spacing w:before="40" w:after="60" w:line="288" w:lineRule="auto"/>
      </w:pPr>
      <w:r>
        <w:rPr>
          <w:rFonts w:ascii="微软雅黑" w:hAnsi="微软雅黑" w:eastAsia="微软雅黑"/>
          <w:b/>
          <w:i w:val="0"/>
          <w:color w:val="2B6CB0"/>
          <w:sz w:val="21"/>
        </w:rPr>
        <w:t>对标 Qwen-Edit 基线优胜：</w:t>
      </w:r>
      <w:r>
        <w:rPr>
          <w:rFonts w:ascii="微软雅黑" w:hAnsi="微软雅黑" w:eastAsia="微软雅黑"/>
          <w:b w:val="0"/>
          <w:i w:val="0"/>
          <w:color w:val="2D3748"/>
          <w:sz w:val="21"/>
        </w:rPr>
        <w:t>针对典型双人交互动作，图像编辑主观质量优胜率相比 Qwen-Edit 基线高于 5%；手部细节合理率相比 Qwen-Edit 基线高于 5%。</w:t>
      </w:r>
    </w:p>
    <w:p>
      <w:pPr>
        <w:pStyle w:val="ListBullet"/>
        <w:spacing w:before="40" w:after="60" w:line="288" w:lineRule="auto"/>
      </w:pPr>
      <w:r>
        <w:rPr>
          <w:rFonts w:ascii="微软雅黑" w:hAnsi="微软雅黑" w:eastAsia="微软雅黑"/>
          <w:b/>
          <w:i w:val="0"/>
          <w:color w:val="2B6CB0"/>
          <w:sz w:val="21"/>
        </w:rPr>
        <w:t>轻量化与部署可行性：</w:t>
      </w:r>
      <w:r>
        <w:rPr>
          <w:rFonts w:ascii="微软雅黑" w:hAnsi="微软雅黑" w:eastAsia="微软雅黑"/>
          <w:b w:val="0"/>
          <w:i w:val="0"/>
          <w:color w:val="2D3748"/>
          <w:sz w:val="21"/>
        </w:rPr>
        <w:t>探索 6B 以下蒸馏/轻量模型，摆脱对 20B 级超大模型的依赖，实现单卡高效训练与秒级推理响应。</w:t>
      </w:r>
    </w:p>
    <w:p>
      <w:pPr>
        <w:keepNext/>
        <w:spacing w:before="360" w:after="160"/>
      </w:pPr>
      <w:r>
        <w:rPr>
          <w:rFonts w:ascii="微软雅黑" w:hAnsi="微软雅黑" w:eastAsia="微软雅黑"/>
          <w:b/>
          <w:i w:val="0"/>
          <w:color w:val="1A365D"/>
          <w:sz w:val="32"/>
        </w:rPr>
        <w:t>第二章 总体系统架构与技术链路</w:t>
      </w:r>
    </w:p>
    <w:p>
      <w:pPr>
        <w:spacing w:before="0" w:after="120" w:line="300" w:lineRule="auto"/>
      </w:pPr>
      <w:r>
        <w:rPr>
          <w:rFonts w:ascii="微软雅黑" w:hAnsi="微软雅黑" w:eastAsia="微软雅黑"/>
          <w:b w:val="0"/>
          <w:i w:val="0"/>
          <w:color w:val="2D3748"/>
          <w:sz w:val="21"/>
        </w:rPr>
        <w:t>针对上述目标，本项目设计了“3D 人体先验解耦 -&gt; 多模态几何控制渲染 -&gt; 冻结基座+接触感知适配器流匹配生成”的三阶段端到端架构体系。整体架构遵循“几何拓扑显式约束、纹理语义解耦保持、生成基座完全冻结、外挂适配器轻量微调”的顶层设计原则。</w:t>
      </w:r>
    </w:p>
    <w:p>
      <w:pPr>
        <w:keepNext/>
        <w:spacing w:before="240" w:after="120"/>
      </w:pPr>
      <w:r>
        <w:rPr>
          <w:rFonts w:ascii="微软雅黑" w:hAnsi="微软雅黑" w:eastAsia="微软雅黑"/>
          <w:b/>
          <w:i w:val="0"/>
          <w:color w:val="2B6CB0"/>
          <w:sz w:val="26"/>
        </w:rPr>
        <w:t>2.1 三阶段技术流水线</w:t>
      </w:r>
    </w:p>
    <w:p>
      <w:pPr>
        <w:pStyle w:val="ListBullet"/>
        <w:spacing w:before="40" w:after="60" w:line="288" w:lineRule="auto"/>
      </w:pPr>
      <w:r>
        <w:rPr>
          <w:rFonts w:ascii="微软雅黑" w:hAnsi="微软雅黑" w:eastAsia="微软雅黑"/>
          <w:b/>
          <w:i w:val="0"/>
          <w:color w:val="2B6CB0"/>
          <w:sz w:val="21"/>
        </w:rPr>
        <w:t>阶段一：三维人体姿态解耦与交互重定向引擎（3D Pose &amp; Shape Disentanglement）</w:t>
      </w:r>
      <w:r>
        <w:rPr>
          <w:rFonts w:ascii="微软雅黑" w:hAnsi="微软雅黑" w:eastAsia="微软雅黑"/>
          <w:b w:val="0"/>
          <w:i w:val="0"/>
          <w:color w:val="2D3748"/>
          <w:sz w:val="21"/>
        </w:rPr>
        <w:br/>
        <w:t>• 输入参考源图像，通过高精度 3D 人体回归算法（如 SMPL-X / FrankMocap / CLIFF）预测单人或双人的参数化网格；</w:t>
        <w:br/>
        <w:t>• 将人体参数彻底解耦为：体型形状参数 beta（控制骨架粗细与肥瘦）、姿态参数 theta（控制关节点旋转）、全局旋转 R 及相机平移参数 T；</w:t>
        <w:br/>
        <w:t>• 针对双人交互，引入基于带符号距离场（SDF）的碰撞排斥项与近邻接触约束损失（Contact Attraction Loss），在 3D 几何空间完成握手、搭肩、拥抱动作的无穿模重定向。</w:t>
      </w:r>
    </w:p>
    <w:p>
      <w:pPr>
        <w:pStyle w:val="ListBullet"/>
        <w:spacing w:before="40" w:after="60" w:line="288" w:lineRule="auto"/>
      </w:pPr>
      <w:r>
        <w:rPr>
          <w:rFonts w:ascii="微软雅黑" w:hAnsi="微软雅黑" w:eastAsia="微软雅黑"/>
          <w:b/>
          <w:i w:val="0"/>
          <w:color w:val="2B6CB0"/>
          <w:sz w:val="21"/>
        </w:rPr>
        <w:t>阶段二：多模态几何控制信号渲染与特征构建（Multimodal Geometry Conditioning）</w:t>
      </w:r>
      <w:r>
        <w:rPr>
          <w:rFonts w:ascii="微软雅黑" w:hAnsi="微软雅黑" w:eastAsia="微软雅黑"/>
          <w:b w:val="0"/>
          <w:i w:val="0"/>
          <w:color w:val="2D3748"/>
          <w:sz w:val="21"/>
        </w:rPr>
        <w:br/>
        <w:t>• 利用可微网格渲染管线，将重定向后的双人 3D 网格投影至目标视点相机平面；</w:t>
        <w:br/>
        <w:t>• 渲染生成四类互补控制信号：</w:t>
        <w:br/>
        <w:t xml:space="preserve">  1) 密集深度图 (Dense Depth Map)：提供毫米级的前后空间相对深度与遮挡边界；</w:t>
        <w:br/>
        <w:t xml:space="preserve">  2) 表面法向图 (Surface Normal Map)：提供微观三维曲面法线朝向与空间肌肉走向；</w:t>
        <w:br/>
        <w:t xml:space="preserve">  3) 身体部位语义分割图 (Body Part Map)：标记躯干、手掌、手臂及人物 A/B 编号，消除多人肢体归属歧义；</w:t>
        <w:br/>
        <w:t xml:space="preserve">  4) 接触区域热力图 (Contact Heatmap)：在双方发生物理接触的网格顶点投影区域生成高斯加权热力响应。</w:t>
      </w:r>
    </w:p>
    <w:p>
      <w:pPr>
        <w:pStyle w:val="ListBullet"/>
        <w:spacing w:before="40" w:after="60" w:line="288" w:lineRule="auto"/>
      </w:pPr>
      <w:r>
        <w:rPr>
          <w:rFonts w:ascii="微软雅黑" w:hAnsi="微软雅黑" w:eastAsia="微软雅黑"/>
          <w:b/>
          <w:i w:val="0"/>
          <w:color w:val="2B6CB0"/>
          <w:sz w:val="21"/>
        </w:rPr>
        <w:t>阶段三：受控扩散编辑生成主流程（Controlled Diffusion Generation）</w:t>
      </w:r>
      <w:r>
        <w:rPr>
          <w:rFonts w:ascii="微软雅黑" w:hAnsi="微软雅黑" w:eastAsia="微软雅黑"/>
          <w:b w:val="0"/>
          <w:i w:val="0"/>
          <w:color w:val="2D3748"/>
          <w:sz w:val="21"/>
        </w:rPr>
        <w:br/>
        <w:t>• 视觉语言大模型（Qwen2.5-VL-3B）提取源图像的全局身份语义与微观服装特征；</w:t>
        <w:br/>
        <w:t>• 跨层通道连接器（SCB）将 VLM 的多层视觉特征投影至扩散 Transformer 空间；</w:t>
        <w:br/>
        <w:t>• 接触感知几何适配器（Contact-Aware Adapter）提取阶段二的 10 通道复合几何信号，通过残差分支注入 DiT 内部 Transformer 块；</w:t>
        <w:br/>
        <w:t>• SD3.5M Kontext 2B DiT 基于连续流匹配（Flow Matching）执行速度场去噪，结合参考潜变量拼接（Reference Latents），生成最终的高保真编辑图像。</w:t>
      </w:r>
    </w:p>
    <w:p>
      <w:pPr>
        <w:spacing w:after="40"/>
      </w:pP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2340"/>
        <w:gridCol w:w="2340"/>
        <w:gridCol w:w="2340"/>
        <w:gridCol w:w="2340"/>
      </w:tblGrid>
      <w:tr>
        <w:tc>
          <w:tcPr>
            <w:tcW w:type="dxa" w:w="1728"/>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技术阶段</w:t>
            </w:r>
          </w:p>
        </w:tc>
        <w:tc>
          <w:tcPr>
            <w:tcW w:type="dxa" w:w="2304"/>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核心模块 / 算法</w:t>
            </w:r>
          </w:p>
        </w:tc>
        <w:tc>
          <w:tcPr>
            <w:tcW w:type="dxa" w:w="3168"/>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输入 / 输出信号</w:t>
            </w:r>
          </w:p>
        </w:tc>
        <w:tc>
          <w:tcPr>
            <w:tcW w:type="dxa" w:w="2592"/>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技术功用与关键保障</w:t>
            </w:r>
          </w:p>
        </w:tc>
      </w:tr>
      <w:tr>
        <w:tc>
          <w:tcPr>
            <w:tcW w:type="dxa" w:w="1728"/>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阶段一</w:t>
              <w:br/>
              <w:t>三维姿态重定向</w:t>
            </w:r>
          </w:p>
        </w:tc>
        <w:tc>
          <w:tcPr>
            <w:tcW w:type="dxa" w:w="2304"/>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SMPL-X 参数化网格</w:t>
              <w:br/>
              <w:t>SDF 碰撞优化器</w:t>
            </w:r>
          </w:p>
        </w:tc>
        <w:tc>
          <w:tcPr>
            <w:tcW w:type="dxa" w:w="3168"/>
            <w:shd w:val="clear" w:color="auto" w:fill="FFFFFF"/>
            <w:tcMar>
              <w:top w:w="100" w:type="dxa"/>
              <w:bottom w:w="100" w:type="dxa"/>
              <w:left w:w="120" w:type="dxa"/>
              <w:right w:w="120" w:type="dxa"/>
            </w:tcMar>
          </w:tcPr>
          <w:p>
            <w:pPr>
              <w:jc w:val="left"/>
            </w:pPr>
            <w:r>
              <w:rPr>
                <w:rFonts w:ascii="微软雅黑" w:hAnsi="微软雅黑" w:eastAsia="微软雅黑"/>
                <w:color w:val="2D3748"/>
                <w:sz w:val="19"/>
              </w:rPr>
              <w:t>输入：源图、编辑指令、目标体型</w:t>
              <w:br/>
              <w:t>输出：解耦 3D 网格 (beta, theta, R, T)</w:t>
            </w:r>
          </w:p>
        </w:tc>
        <w:tc>
          <w:tcPr>
            <w:tcW w:type="dxa" w:w="2592"/>
            <w:shd w:val="clear" w:color="auto" w:fill="FFFFFF"/>
            <w:tcMar>
              <w:top w:w="100" w:type="dxa"/>
              <w:bottom w:w="100" w:type="dxa"/>
              <w:left w:w="120" w:type="dxa"/>
              <w:right w:w="120" w:type="dxa"/>
            </w:tcMar>
          </w:tcPr>
          <w:p>
            <w:pPr>
              <w:jc w:val="left"/>
            </w:pPr>
            <w:r>
              <w:rPr>
                <w:rFonts w:ascii="微软雅黑" w:hAnsi="微软雅黑" w:eastAsia="微软雅黑"/>
                <w:color w:val="2D3748"/>
                <w:sz w:val="19"/>
              </w:rPr>
              <w:t>实现身高体型完全解耦；从源头上避免肢体穿模与动作异常</w:t>
            </w:r>
          </w:p>
        </w:tc>
      </w:tr>
      <w:tr>
        <w:tc>
          <w:tcPr>
            <w:tcW w:type="dxa" w:w="1728"/>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阶段二</w:t>
              <w:br/>
              <w:t>多模态控制构建</w:t>
            </w:r>
          </w:p>
        </w:tc>
        <w:tc>
          <w:tcPr>
            <w:tcW w:type="dxa" w:w="2304"/>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可微着色渲染器</w:t>
              <w:br/>
              <w:t>接触流形提取器</w:t>
            </w:r>
          </w:p>
        </w:tc>
        <w:tc>
          <w:tcPr>
            <w:tcW w:type="dxa" w:w="3168"/>
            <w:shd w:val="clear" w:color="auto" w:fill="F7FAFC"/>
            <w:tcMar>
              <w:top w:w="100" w:type="dxa"/>
              <w:bottom w:w="100" w:type="dxa"/>
              <w:left w:w="120" w:type="dxa"/>
              <w:right w:w="120" w:type="dxa"/>
            </w:tcMar>
          </w:tcPr>
          <w:p>
            <w:pPr>
              <w:jc w:val="left"/>
            </w:pPr>
            <w:r>
              <w:rPr>
                <w:rFonts w:ascii="微软雅黑" w:hAnsi="微软雅黑" w:eastAsia="微软雅黑"/>
                <w:color w:val="2D3748"/>
                <w:sz w:val="19"/>
              </w:rPr>
              <w:t>输入：重定向 3D 网格、相机外参</w:t>
              <w:br/>
              <w:t>输出：深度、法向、部位、接触热图</w:t>
            </w:r>
          </w:p>
        </w:tc>
        <w:tc>
          <w:tcPr>
            <w:tcW w:type="dxa" w:w="2592"/>
            <w:shd w:val="clear" w:color="auto" w:fill="F7FAFC"/>
            <w:tcMar>
              <w:top w:w="100" w:type="dxa"/>
              <w:bottom w:w="100" w:type="dxa"/>
              <w:left w:w="120" w:type="dxa"/>
              <w:right w:w="120" w:type="dxa"/>
            </w:tcMar>
          </w:tcPr>
          <w:p>
            <w:pPr>
              <w:jc w:val="left"/>
            </w:pPr>
            <w:r>
              <w:rPr>
                <w:rFonts w:ascii="微软雅黑" w:hAnsi="微软雅黑" w:eastAsia="微软雅黑"/>
                <w:color w:val="2D3748"/>
                <w:sz w:val="19"/>
              </w:rPr>
              <w:t>构建显式 3D 几何特征；为双人遮挡与交互接触提供物理锚点</w:t>
            </w:r>
          </w:p>
        </w:tc>
      </w:tr>
      <w:tr>
        <w:tc>
          <w:tcPr>
            <w:tcW w:type="dxa" w:w="1728"/>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阶段三</w:t>
              <w:br/>
              <w:t>扩散生成编辑</w:t>
            </w:r>
          </w:p>
        </w:tc>
        <w:tc>
          <w:tcPr>
            <w:tcW w:type="dxa" w:w="2304"/>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DeepGen 1.0 (5B)</w:t>
              <w:br/>
              <w:t>+ Contact-Aware Adapter</w:t>
            </w:r>
          </w:p>
        </w:tc>
        <w:tc>
          <w:tcPr>
            <w:tcW w:type="dxa" w:w="3168"/>
            <w:shd w:val="clear" w:color="auto" w:fill="FFFFFF"/>
            <w:tcMar>
              <w:top w:w="100" w:type="dxa"/>
              <w:bottom w:w="100" w:type="dxa"/>
              <w:left w:w="120" w:type="dxa"/>
              <w:right w:w="120" w:type="dxa"/>
            </w:tcMar>
          </w:tcPr>
          <w:p>
            <w:pPr>
              <w:jc w:val="left"/>
            </w:pPr>
            <w:r>
              <w:rPr>
                <w:rFonts w:ascii="微软雅黑" w:hAnsi="微软雅黑" w:eastAsia="微软雅黑"/>
                <w:color w:val="2D3748"/>
                <w:sz w:val="19"/>
              </w:rPr>
              <w:t>输入：几何特征、源图Latent、文本</w:t>
              <w:br/>
              <w:t>输出：高保真姿态编辑图像 (512/1024)</w:t>
            </w:r>
          </w:p>
        </w:tc>
        <w:tc>
          <w:tcPr>
            <w:tcW w:type="dxa" w:w="2592"/>
            <w:shd w:val="clear" w:color="auto" w:fill="FFFFFF"/>
            <w:tcMar>
              <w:top w:w="100" w:type="dxa"/>
              <w:bottom w:w="100" w:type="dxa"/>
              <w:left w:w="120" w:type="dxa"/>
              <w:right w:w="120" w:type="dxa"/>
            </w:tcMar>
          </w:tcPr>
          <w:p>
            <w:pPr>
              <w:jc w:val="left"/>
            </w:pPr>
            <w:r>
              <w:rPr>
                <w:rFonts w:ascii="微软雅黑" w:hAnsi="微软雅黑" w:eastAsia="微软雅黑"/>
                <w:color w:val="2D3748"/>
                <w:sz w:val="19"/>
              </w:rPr>
              <w:t>完全冻结基座保真身份；通过适配器实现高精度可控生成</w:t>
            </w:r>
          </w:p>
        </w:tc>
      </w:tr>
    </w:tbl>
    <w:p>
      <w:pPr>
        <w:keepNext/>
        <w:spacing w:before="360" w:after="160"/>
      </w:pPr>
      <w:r>
        <w:rPr>
          <w:rFonts w:ascii="微软雅黑" w:hAnsi="微软雅黑" w:eastAsia="微软雅黑"/>
          <w:b/>
          <w:i w:val="0"/>
          <w:color w:val="1A365D"/>
          <w:sz w:val="32"/>
        </w:rPr>
        <w:t>第三章 核心基座模型剖析（DeepGen 1.0 架构）</w:t>
      </w:r>
    </w:p>
    <w:p>
      <w:pPr>
        <w:keepNext/>
        <w:spacing w:before="240" w:after="120"/>
      </w:pPr>
      <w:r>
        <w:rPr>
          <w:rFonts w:ascii="微软雅黑" w:hAnsi="微软雅黑" w:eastAsia="微软雅黑"/>
          <w:b/>
          <w:i w:val="0"/>
          <w:color w:val="2B6CB0"/>
          <w:sz w:val="26"/>
        </w:rPr>
        <w:t>3.1 为什么选择 DeepGen 1.0 作为优先原型底座？</w:t>
      </w:r>
    </w:p>
    <w:p>
      <w:pPr>
        <w:spacing w:before="0" w:after="120" w:line="300" w:lineRule="auto"/>
      </w:pPr>
      <w:r>
        <w:rPr>
          <w:rFonts w:ascii="微软雅黑" w:hAnsi="微软雅黑" w:eastAsia="微软雅黑"/>
          <w:b w:val="0"/>
          <w:i w:val="0"/>
          <w:color w:val="2D3748"/>
          <w:sz w:val="21"/>
        </w:rPr>
        <w:t>在前期技术选型中，我们对比了官方 20B 级 Qwen-Image-Edit、Qwen-Image-2.0 (7B) 以及 DeepGen 1.0 (5B)。最终确定以 DeepGen 1.0 作为核心研发底座，主要基于以下五项无可替代的工程与算法优势：</w:t>
      </w:r>
    </w:p>
    <w:p>
      <w:pPr>
        <w:pStyle w:val="ListBullet"/>
        <w:spacing w:before="40" w:after="60" w:line="288" w:lineRule="auto"/>
      </w:pPr>
      <w:r>
        <w:rPr>
          <w:rFonts w:ascii="微软雅黑" w:hAnsi="微软雅黑" w:eastAsia="微软雅黑"/>
          <w:b/>
          <w:i w:val="0"/>
          <w:color w:val="2B6CB0"/>
          <w:sz w:val="21"/>
        </w:rPr>
        <w:t>1. 极简轻量的 5B 参数规模：</w:t>
      </w:r>
      <w:r>
        <w:rPr>
          <w:rFonts w:ascii="微软雅黑" w:hAnsi="微软雅黑" w:eastAsia="微软雅黑"/>
          <w:b w:val="0"/>
          <w:i w:val="0"/>
          <w:color w:val="2D3748"/>
          <w:sz w:val="21"/>
        </w:rPr>
        <w:t>总参数仅 5.09B，在 RTX 6000D 显卡上单卡常驻显存仅约 4.8 GB，35 步去噪推理耗时仅需 4.4 秒（8.1 it/s）。远优于 20B 级模型高达 40GB+ 显存占用与 30 秒以上的生成延迟，完全满足单卡 84GB 资源下的微调与交互验收。</w:t>
      </w:r>
    </w:p>
    <w:p>
      <w:pPr>
        <w:pStyle w:val="ListBullet"/>
        <w:spacing w:before="40" w:after="60" w:line="288" w:lineRule="auto"/>
      </w:pPr>
      <w:r>
        <w:rPr>
          <w:rFonts w:ascii="微软雅黑" w:hAnsi="微软雅黑" w:eastAsia="微软雅黑"/>
          <w:b/>
          <w:i w:val="0"/>
          <w:color w:val="2B6CB0"/>
          <w:sz w:val="21"/>
        </w:rPr>
        <w:t>2. 原生统一的指令编辑能力：</w:t>
      </w:r>
      <w:r>
        <w:rPr>
          <w:rFonts w:ascii="微软雅黑" w:hAnsi="微软雅黑" w:eastAsia="微软雅黑"/>
          <w:b w:val="0"/>
          <w:i w:val="0"/>
          <w:color w:val="2D3748"/>
          <w:sz w:val="21"/>
        </w:rPr>
        <w:t>不同于从文生图基座打补丁的方案，DeepGen 1.0 在大规模图生图、指令编辑及多任务统一生成上进行了全流程对齐预训练，原生具备强大的图像参考与指令理解能力。</w:t>
      </w:r>
    </w:p>
    <w:p>
      <w:pPr>
        <w:pStyle w:val="ListBullet"/>
        <w:spacing w:before="40" w:after="60" w:line="288" w:lineRule="auto"/>
      </w:pPr>
      <w:r>
        <w:rPr>
          <w:rFonts w:ascii="微软雅黑" w:hAnsi="微软雅黑" w:eastAsia="微软雅黑"/>
          <w:b/>
          <w:i w:val="0"/>
          <w:color w:val="2B6CB0"/>
          <w:sz w:val="21"/>
        </w:rPr>
        <w:t>3. SCB 跨层语义通道堆叠：</w:t>
      </w:r>
      <w:r>
        <w:rPr>
          <w:rFonts w:ascii="微软雅黑" w:hAnsi="微软雅黑" w:eastAsia="微软雅黑"/>
          <w:b w:val="0"/>
          <w:i w:val="0"/>
          <w:color w:val="2D3748"/>
          <w:sz w:val="21"/>
        </w:rPr>
        <w:t>相比普通 Cross-Attention 丢失浅层细节，DeepGen 采用 Stacked Channel Bridging 机制，把视觉语言模型的低、中、高层视觉表征无损透传至生成骨干，为面部身份与服饰细节保真提供了坚实支撑。</w:t>
      </w:r>
    </w:p>
    <w:p>
      <w:pPr>
        <w:pStyle w:val="ListBullet"/>
        <w:spacing w:before="40" w:after="60" w:line="288" w:lineRule="auto"/>
      </w:pPr>
      <w:r>
        <w:rPr>
          <w:rFonts w:ascii="微软雅黑" w:hAnsi="微软雅黑" w:eastAsia="微软雅黑"/>
          <w:b/>
          <w:i w:val="0"/>
          <w:color w:val="2B6CB0"/>
          <w:sz w:val="21"/>
        </w:rPr>
        <w:t>4. SD3.5M Kontext 流匹配 DiT：</w:t>
      </w:r>
      <w:r>
        <w:rPr>
          <w:rFonts w:ascii="微软雅黑" w:hAnsi="微软雅黑" w:eastAsia="微软雅黑"/>
          <w:b w:val="0"/>
          <w:i w:val="0"/>
          <w:color w:val="2D3748"/>
          <w:sz w:val="21"/>
        </w:rPr>
        <w:t>生成模块采用前沿的 Flow Matching 速度场建模，不仅收敛速度显著优于传统 DDPM，而且支持在序列维度无缝拼接源图像 Latents（Reference Latent Path），使背景像素与未编辑区域具有高度物理自洽性。</w:t>
      </w:r>
    </w:p>
    <w:p>
      <w:pPr>
        <w:pStyle w:val="ListBullet"/>
        <w:spacing w:before="40" w:after="60" w:line="288" w:lineRule="auto"/>
      </w:pPr>
      <w:r>
        <w:rPr>
          <w:rFonts w:ascii="微软雅黑" w:hAnsi="微软雅黑" w:eastAsia="微软雅黑"/>
          <w:b/>
          <w:i w:val="0"/>
          <w:color w:val="2B6CB0"/>
          <w:sz w:val="21"/>
        </w:rPr>
        <w:t>5. 完全白盒开源与 Diffusers 原生适配：</w:t>
      </w:r>
      <w:r>
        <w:rPr>
          <w:rFonts w:ascii="微软雅黑" w:hAnsi="微软雅黑" w:eastAsia="微软雅黑"/>
          <w:b w:val="0"/>
          <w:i w:val="0"/>
          <w:color w:val="2D3748"/>
          <w:sz w:val="21"/>
        </w:rPr>
        <w:t>代码与权重完全开源，提供原生支持的 block_controlnet_hidden_states 控制残差挂载接口与梯度检查点（Gradient Checkpointing），便于直接插入外挂 Adapter。</w:t>
      </w:r>
    </w:p>
    <w:p>
      <w:pPr>
        <w:keepNext/>
        <w:spacing w:before="240" w:after="120"/>
      </w:pPr>
      <w:r>
        <w:rPr>
          <w:rFonts w:ascii="微软雅黑" w:hAnsi="微软雅黑" w:eastAsia="微软雅黑"/>
          <w:b/>
          <w:i w:val="0"/>
          <w:color w:val="2B6CB0"/>
          <w:sz w:val="26"/>
        </w:rPr>
        <w:t>3.2 DeepGen 1.0 内部四大核心组件明细</w:t>
      </w:r>
    </w:p>
    <w:p>
      <w:pPr>
        <w:spacing w:before="0" w:after="120" w:line="300" w:lineRule="auto"/>
      </w:pPr>
      <w:r>
        <w:rPr>
          <w:rFonts w:ascii="微软雅黑" w:hAnsi="微软雅黑" w:eastAsia="微软雅黑"/>
          <w:b w:val="0"/>
          <w:i w:val="0"/>
          <w:color w:val="2D3748"/>
          <w:sz w:val="21"/>
        </w:rPr>
        <w:t>DeepGen 1.0 包含以下四个强耦合的核心组件（经 safetensors 权重与配置实测统计）：</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1872"/>
        <w:gridCol w:w="1872"/>
        <w:gridCol w:w="1872"/>
        <w:gridCol w:w="1872"/>
        <w:gridCol w:w="1872"/>
      </w:tblGrid>
      <w:tr>
        <w:tc>
          <w:tcPr>
            <w:tcW w:type="dxa" w:w="1728"/>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组件名称</w:t>
            </w:r>
          </w:p>
        </w:tc>
        <w:tc>
          <w:tcPr>
            <w:tcW w:type="dxa" w:w="2592"/>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技术底座 / 架构</w:t>
            </w:r>
          </w:p>
        </w:tc>
        <w:tc>
          <w:tcPr>
            <w:tcW w:type="dxa" w:w="1440"/>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参数量</w:t>
            </w:r>
          </w:p>
        </w:tc>
        <w:tc>
          <w:tcPr>
            <w:tcW w:type="dxa" w:w="1728"/>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权重占用</w:t>
            </w:r>
          </w:p>
        </w:tc>
        <w:tc>
          <w:tcPr>
            <w:tcW w:type="dxa" w:w="2592"/>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核心职责与设计要点</w:t>
            </w:r>
          </w:p>
        </w:tc>
      </w:tr>
      <w:tr>
        <w:tc>
          <w:tcPr>
            <w:tcW w:type="dxa" w:w="1728"/>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VLM 模块</w:t>
            </w:r>
          </w:p>
        </w:tc>
        <w:tc>
          <w:tcPr>
            <w:tcW w:type="dxa" w:w="2592"/>
            <w:shd w:val="clear" w:color="auto" w:fill="FFFFFF"/>
            <w:tcMar>
              <w:top w:w="100" w:type="dxa"/>
              <w:bottom w:w="100" w:type="dxa"/>
              <w:left w:w="120" w:type="dxa"/>
              <w:right w:w="120" w:type="dxa"/>
            </w:tcMar>
          </w:tcPr>
          <w:p>
            <w:pPr>
              <w:jc w:val="left"/>
            </w:pPr>
            <w:r>
              <w:rPr>
                <w:rFonts w:ascii="微软雅黑" w:hAnsi="微软雅黑" w:eastAsia="微软雅黑"/>
                <w:color w:val="2D3748"/>
                <w:sz w:val="19"/>
              </w:rPr>
              <w:t>Qwen2.5-VL-3B-Instruct</w:t>
            </w:r>
          </w:p>
        </w:tc>
        <w:tc>
          <w:tcPr>
            <w:tcW w:type="dxa" w:w="1440"/>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约 3.09B</w:t>
            </w:r>
          </w:p>
        </w:tc>
        <w:tc>
          <w:tcPr>
            <w:tcW w:type="dxa" w:w="1728"/>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约 7.2 GB (BF16)</w:t>
            </w:r>
          </w:p>
        </w:tc>
        <w:tc>
          <w:tcPr>
            <w:tcW w:type="dxa" w:w="2592"/>
            <w:shd w:val="clear" w:color="auto" w:fill="FFFFFF"/>
            <w:tcMar>
              <w:top w:w="100" w:type="dxa"/>
              <w:bottom w:w="100" w:type="dxa"/>
              <w:left w:w="120" w:type="dxa"/>
              <w:right w:w="120" w:type="dxa"/>
            </w:tcMar>
          </w:tcPr>
          <w:p>
            <w:pPr>
              <w:jc w:val="left"/>
            </w:pPr>
            <w:r>
              <w:rPr>
                <w:rFonts w:ascii="微软雅黑" w:hAnsi="微软雅黑" w:eastAsia="微软雅黑"/>
                <w:color w:val="2D3748"/>
                <w:sz w:val="19"/>
              </w:rPr>
              <w:t>多模态理解；提取源图视觉 Token 与文本编辑指令特征</w:t>
            </w:r>
          </w:p>
        </w:tc>
      </w:tr>
      <w:tr>
        <w:tc>
          <w:tcPr>
            <w:tcW w:type="dxa" w:w="1728"/>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连接器 SCB</w:t>
            </w:r>
          </w:p>
        </w:tc>
        <w:tc>
          <w:tcPr>
            <w:tcW w:type="dxa" w:w="2592"/>
            <w:shd w:val="clear" w:color="auto" w:fill="F7FAFC"/>
            <w:tcMar>
              <w:top w:w="100" w:type="dxa"/>
              <w:bottom w:w="100" w:type="dxa"/>
              <w:left w:w="120" w:type="dxa"/>
              <w:right w:w="120" w:type="dxa"/>
            </w:tcMar>
          </w:tcPr>
          <w:p>
            <w:pPr>
              <w:jc w:val="left"/>
            </w:pPr>
            <w:r>
              <w:rPr>
                <w:rFonts w:ascii="微软雅黑" w:hAnsi="微软雅黑" w:eastAsia="微软雅黑"/>
                <w:color w:val="2D3748"/>
                <w:sz w:val="19"/>
              </w:rPr>
              <w:t>Stacked Channel Bridging</w:t>
            </w:r>
          </w:p>
        </w:tc>
        <w:tc>
          <w:tcPr>
            <w:tcW w:type="dxa" w:w="1440"/>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约 0.20B</w:t>
            </w:r>
          </w:p>
        </w:tc>
        <w:tc>
          <w:tcPr>
            <w:tcW w:type="dxa" w:w="1728"/>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约 0.4 GB (FP32)</w:t>
            </w:r>
          </w:p>
        </w:tc>
        <w:tc>
          <w:tcPr>
            <w:tcW w:type="dxa" w:w="2592"/>
            <w:shd w:val="clear" w:color="auto" w:fill="F7FAFC"/>
            <w:tcMar>
              <w:top w:w="100" w:type="dxa"/>
              <w:bottom w:w="100" w:type="dxa"/>
              <w:left w:w="120" w:type="dxa"/>
              <w:right w:w="120" w:type="dxa"/>
            </w:tcMar>
          </w:tcPr>
          <w:p>
            <w:pPr>
              <w:jc w:val="left"/>
            </w:pPr>
            <w:r>
              <w:rPr>
                <w:rFonts w:ascii="微软雅黑" w:hAnsi="微软雅黑" w:eastAsia="微软雅黑"/>
                <w:color w:val="2D3748"/>
                <w:sz w:val="19"/>
              </w:rPr>
              <w:t>跨层特征对齐；将 VLM 浅/中/深多层特征映射至 DiT 隐空间</w:t>
            </w:r>
          </w:p>
        </w:tc>
      </w:tr>
      <w:tr>
        <w:tc>
          <w:tcPr>
            <w:tcW w:type="dxa" w:w="1728"/>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生成主干 DiT</w:t>
            </w:r>
          </w:p>
        </w:tc>
        <w:tc>
          <w:tcPr>
            <w:tcW w:type="dxa" w:w="2592"/>
            <w:shd w:val="clear" w:color="auto" w:fill="FFFFFF"/>
            <w:tcMar>
              <w:top w:w="100" w:type="dxa"/>
              <w:bottom w:w="100" w:type="dxa"/>
              <w:left w:w="120" w:type="dxa"/>
              <w:right w:w="120" w:type="dxa"/>
            </w:tcMar>
          </w:tcPr>
          <w:p>
            <w:pPr>
              <w:jc w:val="left"/>
            </w:pPr>
            <w:r>
              <w:rPr>
                <w:rFonts w:ascii="微软雅黑" w:hAnsi="微软雅黑" w:eastAsia="微软雅黑"/>
                <w:color w:val="2D3748"/>
                <w:sz w:val="19"/>
              </w:rPr>
              <w:t>UniPic2-SD3.5M-Kontext</w:t>
            </w:r>
          </w:p>
        </w:tc>
        <w:tc>
          <w:tcPr>
            <w:tcW w:type="dxa" w:w="1440"/>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约 2.00B</w:t>
            </w:r>
          </w:p>
        </w:tc>
        <w:tc>
          <w:tcPr>
            <w:tcW w:type="dxa" w:w="1728"/>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约 4.6 GB (BF16)</w:t>
            </w:r>
          </w:p>
        </w:tc>
        <w:tc>
          <w:tcPr>
            <w:tcW w:type="dxa" w:w="2592"/>
            <w:shd w:val="clear" w:color="auto" w:fill="FFFFFF"/>
            <w:tcMar>
              <w:top w:w="100" w:type="dxa"/>
              <w:bottom w:w="100" w:type="dxa"/>
              <w:left w:w="120" w:type="dxa"/>
              <w:right w:w="120" w:type="dxa"/>
            </w:tcMar>
          </w:tcPr>
          <w:p>
            <w:pPr>
              <w:jc w:val="left"/>
            </w:pPr>
            <w:r>
              <w:rPr>
                <w:rFonts w:ascii="微软雅黑" w:hAnsi="微软雅黑" w:eastAsia="微软雅黑"/>
                <w:color w:val="2D3748"/>
                <w:sz w:val="19"/>
              </w:rPr>
              <w:t>流匹配生成；双流/单流注意力块，执行 35 步速度场去噪</w:t>
            </w:r>
          </w:p>
        </w:tc>
      </w:tr>
      <w:tr>
        <w:tc>
          <w:tcPr>
            <w:tcW w:type="dxa" w:w="1728"/>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VAE 模块</w:t>
            </w:r>
          </w:p>
        </w:tc>
        <w:tc>
          <w:tcPr>
            <w:tcW w:type="dxa" w:w="2592"/>
            <w:shd w:val="clear" w:color="auto" w:fill="F7FAFC"/>
            <w:tcMar>
              <w:top w:w="100" w:type="dxa"/>
              <w:bottom w:w="100" w:type="dxa"/>
              <w:left w:w="120" w:type="dxa"/>
              <w:right w:w="120" w:type="dxa"/>
            </w:tcMar>
          </w:tcPr>
          <w:p>
            <w:pPr>
              <w:jc w:val="left"/>
            </w:pPr>
            <w:r>
              <w:rPr>
                <w:rFonts w:ascii="微软雅黑" w:hAnsi="微软雅黑" w:eastAsia="微软雅黑"/>
                <w:color w:val="2D3748"/>
                <w:sz w:val="19"/>
              </w:rPr>
              <w:t>SD3 16-Channel Autoencoder</w:t>
            </w:r>
          </w:p>
        </w:tc>
        <w:tc>
          <w:tcPr>
            <w:tcW w:type="dxa" w:w="1440"/>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约 0.08B</w:t>
            </w:r>
          </w:p>
        </w:tc>
        <w:tc>
          <w:tcPr>
            <w:tcW w:type="dxa" w:w="1728"/>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约 0.16 GB (FP32)</w:t>
            </w:r>
          </w:p>
        </w:tc>
        <w:tc>
          <w:tcPr>
            <w:tcW w:type="dxa" w:w="2592"/>
            <w:shd w:val="clear" w:color="auto" w:fill="F7FAFC"/>
            <w:tcMar>
              <w:top w:w="100" w:type="dxa"/>
              <w:bottom w:w="100" w:type="dxa"/>
              <w:left w:w="120" w:type="dxa"/>
              <w:right w:w="120" w:type="dxa"/>
            </w:tcMar>
          </w:tcPr>
          <w:p>
            <w:pPr>
              <w:jc w:val="left"/>
            </w:pPr>
            <w:r>
              <w:rPr>
                <w:rFonts w:ascii="微软雅黑" w:hAnsi="微软雅黑" w:eastAsia="微软雅黑"/>
                <w:color w:val="2D3748"/>
                <w:sz w:val="19"/>
              </w:rPr>
              <w:t>隐空间压缩；8 倍空间下采样，16 通道高保真图潜互转</w:t>
            </w:r>
          </w:p>
        </w:tc>
      </w:tr>
    </w:tbl>
    <w:p>
      <w:pPr>
        <w:keepNext/>
        <w:spacing w:before="360" w:after="160"/>
      </w:pPr>
      <w:r>
        <w:rPr>
          <w:rFonts w:ascii="微软雅黑" w:hAnsi="微软雅黑" w:eastAsia="微软雅黑"/>
          <w:b/>
          <w:i w:val="0"/>
          <w:color w:val="1A365D"/>
          <w:sz w:val="32"/>
        </w:rPr>
        <w:t>第四章 接触感知几何适配器（Contact-Aware Adapter）与控制机制</w:t>
      </w:r>
    </w:p>
    <w:p>
      <w:pPr>
        <w:spacing w:before="0" w:after="120" w:line="300" w:lineRule="auto"/>
      </w:pPr>
      <w:r>
        <w:rPr>
          <w:rFonts w:ascii="微软雅黑" w:hAnsi="微软雅黑" w:eastAsia="微软雅黑"/>
          <w:b w:val="0"/>
          <w:i w:val="0"/>
          <w:color w:val="2D3748"/>
          <w:sz w:val="21"/>
        </w:rPr>
        <w:t>为了在保持 DeepGen 1.0 强大泛化生成能力的同时，注入微米级的人体姿态与接触拓扑约束，系统设计了专门的“接触感知多尺度几何适配器（Contact-Aware Geometry Adapter）”。该模块在训练与推理过程中与主干完全解耦，实现了“零破坏基座、高精度外挂控制”的设计理念。</w:t>
      </w:r>
    </w:p>
    <w:p>
      <w:pPr>
        <w:keepNext/>
        <w:spacing w:before="240" w:after="120"/>
      </w:pPr>
      <w:r>
        <w:rPr>
          <w:rFonts w:ascii="微软雅黑" w:hAnsi="微软雅黑" w:eastAsia="微软雅黑"/>
          <w:b/>
          <w:i w:val="0"/>
          <w:color w:val="2B6CB0"/>
          <w:sz w:val="26"/>
        </w:rPr>
        <w:t>4.1 适配器输入表征：10 通道复合几何信号</w:t>
      </w:r>
    </w:p>
    <w:p>
      <w:pPr>
        <w:spacing w:before="0" w:after="120" w:line="300" w:lineRule="auto"/>
      </w:pPr>
      <w:r>
        <w:rPr>
          <w:rFonts w:ascii="微软雅黑" w:hAnsi="微软雅黑" w:eastAsia="微软雅黑"/>
          <w:b w:val="0"/>
          <w:i w:val="0"/>
          <w:color w:val="2D3748"/>
          <w:sz w:val="21"/>
        </w:rPr>
        <w:t>传统的 ControlNet 仅输入单通道骨骼或深度图，在处理双人交叉重叠时极易出现特征模糊。本方案创新性地构建了 10 通道复合空间输入张量（Cin = 10）：</w:t>
      </w:r>
    </w:p>
    <w:p>
      <w:pPr>
        <w:pStyle w:val="ListBullet"/>
        <w:spacing w:before="40" w:after="60" w:line="288" w:lineRule="auto"/>
      </w:pPr>
      <w:r>
        <w:rPr>
          <w:rFonts w:ascii="微软雅黑" w:hAnsi="微软雅黑" w:eastAsia="微软雅黑"/>
          <w:b/>
          <w:i w:val="0"/>
          <w:color w:val="2B6CB0"/>
          <w:sz w:val="21"/>
        </w:rPr>
        <w:t>1. 密集深度通道（1 通道）：</w:t>
      </w:r>
      <w:r>
        <w:rPr>
          <w:rFonts w:ascii="微软雅黑" w:hAnsi="微软雅黑" w:eastAsia="微软雅黑"/>
          <w:b w:val="0"/>
          <w:i w:val="0"/>
          <w:color w:val="2D3748"/>
          <w:sz w:val="21"/>
        </w:rPr>
        <w:t>归一化的视点空间相对深度值，严格界定人脸、躯干、前后手臂的空间遮挡前后顺序。</w:t>
      </w:r>
    </w:p>
    <w:p>
      <w:pPr>
        <w:pStyle w:val="ListBullet"/>
        <w:spacing w:before="40" w:after="60" w:line="288" w:lineRule="auto"/>
      </w:pPr>
      <w:r>
        <w:rPr>
          <w:rFonts w:ascii="微软雅黑" w:hAnsi="微软雅黑" w:eastAsia="微软雅黑"/>
          <w:b/>
          <w:i w:val="0"/>
          <w:color w:val="2B6CB0"/>
          <w:sz w:val="21"/>
        </w:rPr>
        <w:t>2. 表面法向通道（3 通道）：</w:t>
      </w:r>
      <w:r>
        <w:rPr>
          <w:rFonts w:ascii="微软雅黑" w:hAnsi="微软雅黑" w:eastAsia="微软雅黑"/>
          <w:b w:val="0"/>
          <w:i w:val="0"/>
          <w:color w:val="2D3748"/>
          <w:sz w:val="21"/>
        </w:rPr>
        <w:t>切空间三维法向量 (Nx, Ny, Nz)，刻画躯干朝向、肌肉轮廓起伏及手指微观空间立体结构。</w:t>
      </w:r>
    </w:p>
    <w:p>
      <w:pPr>
        <w:pStyle w:val="ListBullet"/>
        <w:spacing w:before="40" w:after="60" w:line="288" w:lineRule="auto"/>
      </w:pPr>
      <w:r>
        <w:rPr>
          <w:rFonts w:ascii="微软雅黑" w:hAnsi="微软雅黑" w:eastAsia="微软雅黑"/>
          <w:b/>
          <w:i w:val="0"/>
          <w:color w:val="2B6CB0"/>
          <w:sz w:val="21"/>
        </w:rPr>
        <w:t>3. 身体部位语义通道（3 通道）：</w:t>
      </w:r>
      <w:r>
        <w:rPr>
          <w:rFonts w:ascii="微软雅黑" w:hAnsi="微软雅黑" w:eastAsia="微软雅黑"/>
          <w:b w:val="0"/>
          <w:i w:val="0"/>
          <w:color w:val="2D3748"/>
          <w:sz w:val="21"/>
        </w:rPr>
        <w:t>将 SMPL-X 划分的 24 个部位映射为 RGB 语义编码（左臂、右臂、躯干、大腿、头部等），彻底解决四肢交叉重叠时的自遮挡归属问题。</w:t>
      </w:r>
    </w:p>
    <w:p>
      <w:pPr>
        <w:pStyle w:val="ListBullet"/>
        <w:spacing w:before="40" w:after="60" w:line="288" w:lineRule="auto"/>
      </w:pPr>
      <w:r>
        <w:rPr>
          <w:rFonts w:ascii="微软雅黑" w:hAnsi="微软雅黑" w:eastAsia="微软雅黑"/>
          <w:b/>
          <w:i w:val="0"/>
          <w:color w:val="2B6CB0"/>
          <w:sz w:val="21"/>
        </w:rPr>
        <w:t>4. 实例与交互接触通道（3 通道）：</w:t>
      </w:r>
      <w:r>
        <w:rPr>
          <w:rFonts w:ascii="微软雅黑" w:hAnsi="微软雅黑" w:eastAsia="微软雅黑"/>
          <w:b w:val="0"/>
          <w:i w:val="0"/>
          <w:color w:val="2D3748"/>
          <w:sz w:val="21"/>
        </w:rPr>
        <w:t>• 通道 8: 人物 A 掩码；</w:t>
        <w:br/>
        <w:t>• 通道 9: 人物 B 掩码；</w:t>
        <w:br/>
        <w:t>• 通道 10: 交互接触热力图（Contact Heatmap），在握手接触面、搭肩受力点处以网格邻域欧氏距离加权生成高斯响应。</w:t>
      </w:r>
    </w:p>
    <w:p>
      <w:pPr>
        <w:keepNext/>
        <w:spacing w:before="160" w:after="80"/>
      </w:pPr>
      <w:r>
        <w:rPr>
          <w:rFonts w:ascii="微软雅黑" w:hAnsi="微软雅黑" w:eastAsia="微软雅黑"/>
          <w:b/>
          <w:i w:val="0"/>
          <w:color w:val="2D3748"/>
          <w:sz w:val="22"/>
        </w:rPr>
        <w:t>几何控制信号渲染示例</w:t>
      </w:r>
    </w:p>
    <w:p>
      <w:pPr>
        <w:spacing w:before="0" w:after="120" w:line="300" w:lineRule="auto"/>
      </w:pPr>
      <w:r>
        <w:rPr>
          <w:rFonts w:ascii="微软雅黑" w:hAnsi="微软雅黑" w:eastAsia="微软雅黑"/>
          <w:b w:val="0"/>
          <w:i w:val="0"/>
          <w:color w:val="2D3748"/>
          <w:sz w:val="21"/>
        </w:rPr>
        <w:t>系统在离线或预处理流水线中渲染的多通道控制图示例如下（深度、骨骼、法向、接触热图）：</w:t>
      </w:r>
    </w:p>
    <w:tbl>
      <w:tblPr>
        <w:tblW w:type="auto" w:w="0"/>
        <w:tblLook w:firstColumn="1" w:firstRow="1" w:lastColumn="0" w:lastRow="0" w:noHBand="0" w:noVBand="1" w:val="04A0"/>
      </w:tblPr>
      <w:tblGrid>
        <w:gridCol w:w="2340"/>
        <w:gridCol w:w="2340"/>
        <w:gridCol w:w="2340"/>
        <w:gridCol w:w="2340"/>
      </w:tblGrid>
      <w:tr>
        <w:tc>
          <w:tcPr>
            <w:tcW w:type="dxa" w:w="2340"/>
            <w:shd w:val="clear" w:color="auto" w:fill="FFFFFF"/>
            <w:tcMar>
              <w:top w:w="60" w:type="dxa"/>
              <w:bottom w:w="60" w:type="dxa"/>
              <w:left w:w="60" w:type="dxa"/>
              <w:right w:w="60" w:type="dxa"/>
            </w:tcMar>
          </w:tcPr>
          <w:p>
            <w:pPr>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control_skeleton.png"/>
                          <pic:cNvPicPr/>
                        </pic:nvPicPr>
                        <pic:blipFill>
                          <a:blip r:embed="rId9"/>
                          <a:stretch>
                            <a:fillRect/>
                          </a:stretch>
                        </pic:blipFill>
                        <pic:spPr>
                          <a:xfrm>
                            <a:off x="0" y="0"/>
                            <a:ext cx="1280160" cy="1280160"/>
                          </a:xfrm>
                          <a:prstGeom prst="rect"/>
                        </pic:spPr>
                      </pic:pic>
                    </a:graphicData>
                  </a:graphic>
                </wp:inline>
              </w:drawing>
            </w:r>
          </w:p>
          <w:p>
            <w:pPr>
              <w:jc w:val="center"/>
            </w:pPr>
            <w:r>
              <w:rPr>
                <w:rFonts w:ascii="微软雅黑" w:hAnsi="微软雅黑" w:eastAsia="微软雅黑"/>
                <w:b/>
                <w:i w:val="0"/>
                <w:color w:val="718096"/>
                <w:sz w:val="17"/>
              </w:rPr>
              <w:t>OpenPose 骨骼点</w:t>
            </w:r>
          </w:p>
        </w:tc>
        <w:tc>
          <w:tcPr>
            <w:tcW w:type="dxa" w:w="2340"/>
            <w:shd w:val="clear" w:color="auto" w:fill="FFFFFF"/>
            <w:tcMar>
              <w:top w:w="60" w:type="dxa"/>
              <w:bottom w:w="60" w:type="dxa"/>
              <w:left w:w="60" w:type="dxa"/>
              <w:right w:w="60" w:type="dxa"/>
            </w:tcMar>
          </w:tcPr>
          <w:p>
            <w:pPr>
              <w:jc w:val="center"/>
            </w:pPr>
            <w:r>
              <w:drawing>
                <wp:inline xmlns:a="http://schemas.openxmlformats.org/drawingml/2006/main" xmlns:pic="http://schemas.openxmlformats.org/drawingml/2006/picture">
                  <wp:extent cx="1280160" cy="1280160"/>
                  <wp:docPr id="2" name="Picture 2"/>
                  <wp:cNvGraphicFramePr>
                    <a:graphicFrameLocks noChangeAspect="1"/>
                  </wp:cNvGraphicFramePr>
                  <a:graphic>
                    <a:graphicData uri="http://schemas.openxmlformats.org/drawingml/2006/picture">
                      <pic:pic>
                        <pic:nvPicPr>
                          <pic:cNvPr id="0" name="control_depth.png"/>
                          <pic:cNvPicPr/>
                        </pic:nvPicPr>
                        <pic:blipFill>
                          <a:blip r:embed="rId10"/>
                          <a:stretch>
                            <a:fillRect/>
                          </a:stretch>
                        </pic:blipFill>
                        <pic:spPr>
                          <a:xfrm>
                            <a:off x="0" y="0"/>
                            <a:ext cx="1280160" cy="1280160"/>
                          </a:xfrm>
                          <a:prstGeom prst="rect"/>
                        </pic:spPr>
                      </pic:pic>
                    </a:graphicData>
                  </a:graphic>
                </wp:inline>
              </w:drawing>
            </w:r>
          </w:p>
          <w:p>
            <w:pPr>
              <w:jc w:val="center"/>
            </w:pPr>
            <w:r>
              <w:rPr>
                <w:rFonts w:ascii="微软雅黑" w:hAnsi="微软雅黑" w:eastAsia="微软雅黑"/>
                <w:b/>
                <w:i w:val="0"/>
                <w:color w:val="718096"/>
                <w:sz w:val="17"/>
              </w:rPr>
              <w:t>MiDaS/SMPL 密集深度</w:t>
            </w:r>
          </w:p>
        </w:tc>
        <w:tc>
          <w:tcPr>
            <w:tcW w:type="dxa" w:w="2340"/>
            <w:shd w:val="clear" w:color="auto" w:fill="FFFFFF"/>
            <w:tcMar>
              <w:top w:w="60" w:type="dxa"/>
              <w:bottom w:w="60" w:type="dxa"/>
              <w:left w:w="60" w:type="dxa"/>
              <w:right w:w="60" w:type="dxa"/>
            </w:tcMar>
          </w:tcPr>
          <w:p>
            <w:pPr>
              <w:jc w:val="center"/>
            </w:pPr>
            <w:r>
              <w:drawing>
                <wp:inline xmlns:a="http://schemas.openxmlformats.org/drawingml/2006/main" xmlns:pic="http://schemas.openxmlformats.org/drawingml/2006/picture">
                  <wp:extent cx="1280160" cy="1280160"/>
                  <wp:docPr id="3" name="Picture 3"/>
                  <wp:cNvGraphicFramePr>
                    <a:graphicFrameLocks noChangeAspect="1"/>
                  </wp:cNvGraphicFramePr>
                  <a:graphic>
                    <a:graphicData uri="http://schemas.openxmlformats.org/drawingml/2006/picture">
                      <pic:pic>
                        <pic:nvPicPr>
                          <pic:cNvPr id="0" name="control_normal.png"/>
                          <pic:cNvPicPr/>
                        </pic:nvPicPr>
                        <pic:blipFill>
                          <a:blip r:embed="rId11"/>
                          <a:stretch>
                            <a:fillRect/>
                          </a:stretch>
                        </pic:blipFill>
                        <pic:spPr>
                          <a:xfrm>
                            <a:off x="0" y="0"/>
                            <a:ext cx="1280160" cy="1280160"/>
                          </a:xfrm>
                          <a:prstGeom prst="rect"/>
                        </pic:spPr>
                      </pic:pic>
                    </a:graphicData>
                  </a:graphic>
                </wp:inline>
              </w:drawing>
            </w:r>
          </w:p>
          <w:p>
            <w:pPr>
              <w:jc w:val="center"/>
            </w:pPr>
            <w:r>
              <w:rPr>
                <w:rFonts w:ascii="微软雅黑" w:hAnsi="微软雅黑" w:eastAsia="微软雅黑"/>
                <w:b/>
                <w:i w:val="0"/>
                <w:color w:val="718096"/>
                <w:sz w:val="17"/>
              </w:rPr>
              <w:t>表面法向 (Normal)</w:t>
            </w:r>
          </w:p>
        </w:tc>
        <w:tc>
          <w:tcPr>
            <w:tcW w:type="dxa" w:w="2340"/>
            <w:shd w:val="clear" w:color="auto" w:fill="FFFFFF"/>
            <w:tcMar>
              <w:top w:w="60" w:type="dxa"/>
              <w:bottom w:w="60" w:type="dxa"/>
              <w:left w:w="60" w:type="dxa"/>
              <w:right w:w="60" w:type="dxa"/>
            </w:tcMar>
          </w:tcPr>
          <w:p>
            <w:pPr>
              <w:jc w:val="center"/>
            </w:pPr>
            <w:r>
              <w:drawing>
                <wp:inline xmlns:a="http://schemas.openxmlformats.org/drawingml/2006/main" xmlns:pic="http://schemas.openxmlformats.org/drawingml/2006/picture">
                  <wp:extent cx="1280160" cy="1280160"/>
                  <wp:docPr id="4" name="Picture 4"/>
                  <wp:cNvGraphicFramePr>
                    <a:graphicFrameLocks noChangeAspect="1"/>
                  </wp:cNvGraphicFramePr>
                  <a:graphic>
                    <a:graphicData uri="http://schemas.openxmlformats.org/drawingml/2006/picture">
                      <pic:pic>
                        <pic:nvPicPr>
                          <pic:cNvPr id="0" name="control_contact.png"/>
                          <pic:cNvPicPr/>
                        </pic:nvPicPr>
                        <pic:blipFill>
                          <a:blip r:embed="rId12"/>
                          <a:stretch>
                            <a:fillRect/>
                          </a:stretch>
                        </pic:blipFill>
                        <pic:spPr>
                          <a:xfrm>
                            <a:off x="0" y="0"/>
                            <a:ext cx="1280160" cy="1280160"/>
                          </a:xfrm>
                          <a:prstGeom prst="rect"/>
                        </pic:spPr>
                      </pic:pic>
                    </a:graphicData>
                  </a:graphic>
                </wp:inline>
              </w:drawing>
            </w:r>
          </w:p>
          <w:p>
            <w:pPr>
              <w:jc w:val="center"/>
            </w:pPr>
            <w:r>
              <w:rPr>
                <w:rFonts w:ascii="微软雅黑" w:hAnsi="微软雅黑" w:eastAsia="微软雅黑"/>
                <w:b/>
                <w:i w:val="0"/>
                <w:color w:val="718096"/>
                <w:sz w:val="17"/>
              </w:rPr>
              <w:t>接触热图 (Contact)</w:t>
            </w:r>
          </w:p>
        </w:tc>
      </w:tr>
    </w:tbl>
    <w:p>
      <w:pPr>
        <w:spacing w:after="120"/>
      </w:pPr>
    </w:p>
    <w:p>
      <w:pPr>
        <w:keepNext/>
        <w:spacing w:before="240" w:after="120"/>
      </w:pPr>
      <w:r>
        <w:rPr>
          <w:rFonts w:ascii="微软雅黑" w:hAnsi="微软雅黑" w:eastAsia="微软雅黑"/>
          <w:b/>
          <w:i w:val="0"/>
          <w:color w:val="2B6CB0"/>
          <w:sz w:val="26"/>
        </w:rPr>
        <w:t>4.2 适配器多尺度网络骨架与参数预算</w:t>
      </w:r>
    </w:p>
    <w:p>
      <w:pPr>
        <w:spacing w:before="0" w:after="120" w:line="300" w:lineRule="auto"/>
      </w:pPr>
      <w:r>
        <w:rPr>
          <w:rFonts w:ascii="微软雅黑" w:hAnsi="微软雅黑" w:eastAsia="微软雅黑"/>
          <w:b w:val="0"/>
          <w:i w:val="0"/>
          <w:color w:val="2D3748"/>
          <w:sz w:val="21"/>
        </w:rPr>
        <w:t>适配器采用类似轻量 ConvNeXt / ResNet 的 4 级特征金字塔架构，参数规模严格控制在 150M ~ 250M 之间：</w:t>
      </w:r>
    </w:p>
    <w:p>
      <w:pPr>
        <w:pStyle w:val="ListBullet"/>
        <w:spacing w:before="40" w:after="60" w:line="288" w:lineRule="auto"/>
      </w:pPr>
      <w:r>
        <w:rPr>
          <w:rFonts w:ascii="微软雅黑" w:hAnsi="微软雅黑" w:eastAsia="微软雅黑"/>
          <w:b/>
          <w:i w:val="0"/>
          <w:color w:val="2B6CB0"/>
          <w:sz w:val="21"/>
        </w:rPr>
        <w:t>浅层编码与下采样（Stage 1-2）：</w:t>
      </w:r>
      <w:r>
        <w:rPr>
          <w:rFonts w:ascii="微软雅黑" w:hAnsi="微软雅黑" w:eastAsia="微软雅黑"/>
          <w:b w:val="0"/>
          <w:i w:val="0"/>
          <w:color w:val="2D3748"/>
          <w:sz w:val="21"/>
        </w:rPr>
        <w:t>利用带残差的 2D 深度可分离卷积，将 10 x H x W 的输入逐步下采样至隐空间尺度（1/8, 1/16），保留细粒度手部与接触点空间线索。</w:t>
      </w:r>
    </w:p>
    <w:p>
      <w:pPr>
        <w:pStyle w:val="ListBullet"/>
        <w:spacing w:before="40" w:after="60" w:line="288" w:lineRule="auto"/>
      </w:pPr>
      <w:r>
        <w:rPr>
          <w:rFonts w:ascii="微软雅黑" w:hAnsi="微软雅黑" w:eastAsia="微软雅黑"/>
          <w:b/>
          <w:i w:val="0"/>
          <w:color w:val="2B6CB0"/>
          <w:sz w:val="21"/>
        </w:rPr>
        <w:t>接触感知交互注意力块（Contact Attention Block）：</w:t>
      </w:r>
      <w:r>
        <w:rPr>
          <w:rFonts w:ascii="微软雅黑" w:hAnsi="微软雅黑" w:eastAsia="微软雅黑"/>
          <w:b w:val="0"/>
          <w:i w:val="0"/>
          <w:color w:val="2D3748"/>
          <w:sz w:val="21"/>
        </w:rPr>
        <w:t>在深层特征层（1/32, 1/64），引入以接触热力图为空间掩码的局部自注意力（Local Self-Attention），使得参与握手、搭肩交互的两组肢体特征在隐空间产生双向交互关联，强行抑制肢体错位与悬空。</w:t>
      </w:r>
    </w:p>
    <w:p>
      <w:pPr>
        <w:pStyle w:val="ListBullet"/>
        <w:spacing w:before="40" w:after="60" w:line="288" w:lineRule="auto"/>
      </w:pPr>
      <w:r>
        <w:rPr>
          <w:rFonts w:ascii="微软雅黑" w:hAnsi="微软雅黑" w:eastAsia="微软雅黑"/>
          <w:b/>
          <w:i w:val="0"/>
          <w:color w:val="2B6CB0"/>
          <w:sz w:val="21"/>
        </w:rPr>
        <w:t>扩散时间步条件调制（Time-step FiLM Layer）：</w:t>
      </w:r>
      <w:r>
        <w:rPr>
          <w:rFonts w:ascii="微软雅黑" w:hAnsi="微软雅黑" w:eastAsia="微软雅黑"/>
          <w:b w:val="0"/>
          <w:i w:val="0"/>
          <w:color w:val="2D3748"/>
          <w:sz w:val="21"/>
        </w:rPr>
        <w:t>将当前去噪时间步 t 编码为正弦嵌入，经过 MLP 映射为缩放系数 gamma(t) 与偏置系数 beta(t)，动态调节各层特征：在去噪前期（t 接近 1.0）以强几何引导宏观身体姿态成型，在去噪后期（t 接近 0.0）微调衣服褶皱与接触表面。</w:t>
      </w:r>
    </w:p>
    <w:p>
      <w:pPr>
        <w:keepNext/>
        <w:spacing w:before="240" w:after="120"/>
      </w:pPr>
      <w:r>
        <w:rPr>
          <w:rFonts w:ascii="微软雅黑" w:hAnsi="微软雅黑" w:eastAsia="微软雅黑"/>
          <w:b/>
          <w:i w:val="0"/>
          <w:color w:val="2B6CB0"/>
          <w:sz w:val="26"/>
        </w:rPr>
        <w:t>4.3 残差注入机制与零初始化门控</w:t>
      </w:r>
    </w:p>
    <w:p>
      <w:pPr>
        <w:spacing w:before="0" w:after="120" w:line="300" w:lineRule="auto"/>
      </w:pPr>
      <w:r>
        <w:rPr>
          <w:rFonts w:ascii="微软雅黑" w:hAnsi="微软雅黑" w:eastAsia="微软雅黑"/>
          <w:b w:val="0"/>
          <w:i w:val="0"/>
          <w:color w:val="2D3748"/>
          <w:sz w:val="21"/>
        </w:rPr>
        <w:t>DeepGen 1.0 的 SD3.5M DiT 源码中已内置了 block_controlnet_hidden_states 注入接口。适配器提取出的多尺度特征通过 1x1 零初始化卷积层（Zero-Convolution）映射为与 DiT 隐藏维度相符的残差张量 Delta h_l：</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A365D"/>
              <w:top w:val="none"/>
              <w:bottom w:val="none"/>
              <w:right w:val="none"/>
            </w:tcBorders>
          </w:tcPr>
          <w:p>
            <w:pPr>
              <w:spacing w:before="40" w:after="40" w:line="288" w:lineRule="auto"/>
            </w:pPr>
            <w:r>
              <w:rPr>
                <w:rFonts w:ascii="微软雅黑" w:hAnsi="微软雅黑" w:eastAsia="微软雅黑"/>
                <w:b/>
                <w:i w:val="0"/>
                <w:color w:val="1A365D"/>
                <w:sz w:val="22"/>
              </w:rPr>
              <w:t>📌 适配器零初始化残差注入机制</w:t>
              <w:br/>
            </w:r>
            <w:r>
              <w:rPr>
                <w:rFonts w:ascii="微软雅黑" w:hAnsi="微软雅黑" w:eastAsia="微软雅黑"/>
                <w:b w:val="0"/>
                <w:i w:val="0"/>
                <w:color w:val="2D3748"/>
                <w:sz w:val="20"/>
              </w:rPr>
              <w:t>残差注入数学表达式：</w:t>
              <w:br/>
              <w:t xml:space="preserve">    h_out[l] = TransformerBlock_l(h_in[l], c_vlm) + alpha_l * ZeroConv_l(AdapterFeature[l](x_geom, t))</w:t>
              <w:br/>
              <w:br/>
              <w:t>其中：</w:t>
              <w:br/>
              <w:t>• AdapterFeature[l] 为适配器第 l 层输出的多尺度几何特征；</w:t>
              <w:br/>
              <w:t>• ZeroConv 在训练初始时权重与偏置均严格置为 0，使得训练起始步模型的输出与未加适配器时的原始 DeepGen 完全等价，实现了平稳冷启动；</w:t>
              <w:br/>
              <w:t>• 注入位置选择在 DiT 的第 4、8、12、16、20 层 Joint/Single Transformer 块之后，既能影响深层全局布局，又保留了表层生成的高频质感与多样性。</w:t>
            </w:r>
          </w:p>
        </w:tc>
      </w:tr>
    </w:tbl>
    <w:p>
      <w:pPr>
        <w:spacing w:after="80"/>
      </w:pPr>
    </w:p>
    <w:p>
      <w:pPr>
        <w:keepNext/>
        <w:spacing w:before="240" w:after="120"/>
      </w:pPr>
      <w:r>
        <w:rPr>
          <w:rFonts w:ascii="微软雅黑" w:hAnsi="微软雅黑" w:eastAsia="微软雅黑"/>
          <w:b/>
          <w:i w:val="0"/>
          <w:color w:val="2B6CB0"/>
          <w:sz w:val="26"/>
        </w:rPr>
        <w:t>4.4 身份与服装细节保真机制</w:t>
      </w:r>
    </w:p>
    <w:p>
      <w:pPr>
        <w:spacing w:before="0" w:after="120" w:line="300" w:lineRule="auto"/>
      </w:pPr>
      <w:r>
        <w:rPr>
          <w:rFonts w:ascii="微软雅黑" w:hAnsi="微软雅黑" w:eastAsia="微软雅黑"/>
          <w:b w:val="0"/>
          <w:i w:val="0"/>
          <w:color w:val="2D3748"/>
          <w:sz w:val="21"/>
        </w:rPr>
        <w:t>为了解决姿态大幅度变化时面部身份偏移与衣物纹理失真的难题，系统构建了“语义-潜空间-空间掩码”三重保真链条：</w:t>
      </w:r>
    </w:p>
    <w:p>
      <w:pPr>
        <w:pStyle w:val="ListBullet"/>
        <w:spacing w:before="40" w:after="60" w:line="288" w:lineRule="auto"/>
      </w:pPr>
      <w:r>
        <w:rPr>
          <w:rFonts w:ascii="微软雅黑" w:hAnsi="微软雅黑" w:eastAsia="微软雅黑"/>
          <w:b/>
          <w:i w:val="0"/>
          <w:color w:val="2B6CB0"/>
          <w:sz w:val="21"/>
        </w:rPr>
        <w:t>第一重：VLM 多尺度视觉提示（Semantic Conditioning）：</w:t>
      </w:r>
      <w:r>
        <w:rPr>
          <w:rFonts w:ascii="微软雅黑" w:hAnsi="微软雅黑" w:eastAsia="微软雅黑"/>
          <w:b w:val="0"/>
          <w:i w:val="0"/>
          <w:color w:val="2D3748"/>
          <w:sz w:val="21"/>
        </w:rPr>
        <w:t>利用 Qwen2.5-VL 对源图人物面部与服装进行针对性 Token 编码，通过 SCB 将高维视觉语义注入 DiT 的交叉注意力层。</w:t>
      </w:r>
    </w:p>
    <w:p>
      <w:pPr>
        <w:pStyle w:val="ListBullet"/>
        <w:spacing w:before="40" w:after="60" w:line="288" w:lineRule="auto"/>
      </w:pPr>
      <w:r>
        <w:rPr>
          <w:rFonts w:ascii="微软雅黑" w:hAnsi="微软雅黑" w:eastAsia="微软雅黑"/>
          <w:b/>
          <w:i w:val="0"/>
          <w:color w:val="2B6CB0"/>
          <w:sz w:val="21"/>
        </w:rPr>
        <w:t>第二重：参考潜变量拼接（Reference Latent Concatenation）：</w:t>
      </w:r>
      <w:r>
        <w:rPr>
          <w:rFonts w:ascii="微软雅黑" w:hAnsi="微软雅黑" w:eastAsia="微软雅黑"/>
          <w:b w:val="0"/>
          <w:i w:val="0"/>
          <w:color w:val="2D3748"/>
          <w:sz w:val="21"/>
        </w:rPr>
        <w:t>将源图像通过 SD3 VAE 编码为 Z_src (16 通道)，在序列通道维度与当前去噪潜变量 Z_t 进行联合注意力计算，使模型能够直接从源图潜空间中无损复用精细的衣服格纹、毛线材质与拉链细节。</w:t>
      </w:r>
    </w:p>
    <w:p>
      <w:pPr>
        <w:pStyle w:val="ListBullet"/>
        <w:spacing w:before="40" w:after="60" w:line="288" w:lineRule="auto"/>
      </w:pPr>
      <w:r>
        <w:rPr>
          <w:rFonts w:ascii="微软雅黑" w:hAnsi="微软雅黑" w:eastAsia="微软雅黑"/>
          <w:b/>
          <w:i w:val="0"/>
          <w:color w:val="2B6CB0"/>
          <w:sz w:val="21"/>
        </w:rPr>
        <w:t>第三重：背景与非编辑区域锁定：</w:t>
      </w:r>
      <w:r>
        <w:rPr>
          <w:rFonts w:ascii="微软雅黑" w:hAnsi="微软雅黑" w:eastAsia="微软雅黑"/>
          <w:b w:val="0"/>
          <w:i w:val="0"/>
          <w:color w:val="2D3748"/>
          <w:sz w:val="21"/>
        </w:rPr>
        <w:t>对于背景、未变动肢体区域，在推理时支持通过掩码混合（Latent Inpainting Blend）保持背景 100% 绝对像素一致。</w:t>
      </w:r>
    </w:p>
    <w:p>
      <w:pPr>
        <w:keepNext/>
        <w:spacing w:before="360" w:after="160"/>
      </w:pPr>
      <w:r>
        <w:rPr>
          <w:rFonts w:ascii="微软雅黑" w:hAnsi="微软雅黑" w:eastAsia="微软雅黑"/>
          <w:b/>
          <w:i w:val="0"/>
          <w:color w:val="1A365D"/>
          <w:sz w:val="32"/>
        </w:rPr>
        <w:t>第五章 训练策略、数据工程与 84GB 显存适配</w:t>
      </w:r>
    </w:p>
    <w:p>
      <w:pPr>
        <w:keepNext/>
        <w:spacing w:before="240" w:after="120"/>
      </w:pPr>
      <w:r>
        <w:rPr>
          <w:rFonts w:ascii="微软雅黑" w:hAnsi="微软雅黑" w:eastAsia="微软雅黑"/>
          <w:b/>
          <w:i w:val="0"/>
          <w:color w:val="2B6CB0"/>
          <w:sz w:val="26"/>
        </w:rPr>
        <w:t>5.1 冻结主干与梯度回传设计</w:t>
      </w:r>
    </w:p>
    <w:p>
      <w:pPr>
        <w:spacing w:before="0" w:after="120" w:line="300" w:lineRule="auto"/>
      </w:pPr>
      <w:r>
        <w:rPr>
          <w:rFonts w:ascii="微软雅黑" w:hAnsi="微软雅黑" w:eastAsia="微软雅黑"/>
          <w:b w:val="0"/>
          <w:i w:val="0"/>
          <w:color w:val="2D3748"/>
          <w:sz w:val="21"/>
        </w:rPr>
        <w:t>为保障训练稳定性并防止灾难性遗忘，系统在训练期设立了严格的参数冻结边界：</w:t>
      </w:r>
    </w:p>
    <w:p>
      <w:pPr>
        <w:pStyle w:val="ListBullet"/>
        <w:spacing w:before="40" w:after="60" w:line="288" w:lineRule="auto"/>
      </w:pPr>
      <w:r>
        <w:rPr>
          <w:rFonts w:ascii="微软雅黑" w:hAnsi="微软雅黑" w:eastAsia="微软雅黑"/>
          <w:b/>
          <w:i w:val="0"/>
          <w:color w:val="2B6CB0"/>
          <w:sz w:val="21"/>
        </w:rPr>
        <w:t>完全冻结模块：</w:t>
      </w:r>
      <w:r>
        <w:rPr>
          <w:rFonts w:ascii="微软雅黑" w:hAnsi="微软雅黑" w:eastAsia="微软雅黑"/>
          <w:b w:val="0"/>
          <w:i w:val="0"/>
          <w:color w:val="2D3748"/>
          <w:sz w:val="21"/>
        </w:rPr>
        <w:t>Qwen2.5-VL 视觉语言底座、SCB 跨层连接器、SD3.5M DiT 主干全部参数、SD3 16通道 VAE。这些权重 requires_grad = False，参数量合计 5.09B。</w:t>
      </w:r>
    </w:p>
    <w:p>
      <w:pPr>
        <w:pStyle w:val="ListBullet"/>
        <w:spacing w:before="40" w:after="60" w:line="288" w:lineRule="auto"/>
      </w:pPr>
      <w:r>
        <w:rPr>
          <w:rFonts w:ascii="微软雅黑" w:hAnsi="微软雅黑" w:eastAsia="微软雅黑"/>
          <w:b/>
          <w:i w:val="0"/>
          <w:color w:val="2B6CB0"/>
          <w:sz w:val="21"/>
        </w:rPr>
        <w:t>唯一可训练模块：</w:t>
      </w:r>
      <w:r>
        <w:rPr>
          <w:rFonts w:ascii="微软雅黑" w:hAnsi="微软雅黑" w:eastAsia="微软雅黑"/>
          <w:b w:val="0"/>
          <w:i w:val="0"/>
          <w:color w:val="2D3748"/>
          <w:sz w:val="21"/>
        </w:rPr>
        <w:t>仅 Contact-Aware Geometry Adapter（约 180M 参数），梯度更新完全局限在适配器内部。</w:t>
      </w:r>
    </w:p>
    <w:p>
      <w:pPr>
        <w:pStyle w:val="ListBullet"/>
        <w:spacing w:before="40" w:after="60" w:line="288" w:lineRule="auto"/>
      </w:pPr>
      <w:r>
        <w:rPr>
          <w:rFonts w:ascii="微软雅黑" w:hAnsi="微软雅黑" w:eastAsia="微软雅黑"/>
          <w:b/>
          <w:i w:val="0"/>
          <w:color w:val="2B6CB0"/>
          <w:sz w:val="21"/>
        </w:rPr>
        <w:t>可微计算图保留：</w:t>
      </w:r>
      <w:r>
        <w:rPr>
          <w:rFonts w:ascii="微软雅黑" w:hAnsi="微软雅黑" w:eastAsia="微软雅黑"/>
          <w:b w:val="0"/>
          <w:i w:val="0"/>
          <w:color w:val="2D3748"/>
          <w:sz w:val="21"/>
        </w:rPr>
        <w:t>DiT 参数虽然被冻结，但其输入残差节点保持可微状态（保留 Autograd 计算图），反向传播穿过 DiT 将误差无损传递回适配器，避免因调用 torch.no_grad() 导致训练断链。</w:t>
      </w:r>
    </w:p>
    <w:p>
      <w:pPr>
        <w:keepNext/>
        <w:spacing w:before="240" w:after="120"/>
      </w:pPr>
      <w:r>
        <w:rPr>
          <w:rFonts w:ascii="微软雅黑" w:hAnsi="微软雅黑" w:eastAsia="微软雅黑"/>
          <w:b/>
          <w:i w:val="0"/>
          <w:color w:val="2B6CB0"/>
          <w:sz w:val="26"/>
        </w:rPr>
        <w:t>5.2 复合损失函数设计</w:t>
      </w:r>
    </w:p>
    <w:p>
      <w:pPr>
        <w:spacing w:before="0" w:after="120" w:line="300" w:lineRule="auto"/>
      </w:pPr>
      <w:r>
        <w:rPr>
          <w:rFonts w:ascii="微软雅黑" w:hAnsi="微软雅黑" w:eastAsia="微软雅黑"/>
          <w:b w:val="0"/>
          <w:i w:val="0"/>
          <w:color w:val="2D3748"/>
          <w:sz w:val="21"/>
        </w:rPr>
        <w:t>模型训练采用流匹配速度场损失与局部交互感知加权损失的联合监督目标：</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A365D"/>
              <w:top w:val="none"/>
              <w:bottom w:val="none"/>
              <w:right w:val="none"/>
            </w:tcBorders>
          </w:tcPr>
          <w:p>
            <w:pPr>
              <w:spacing w:before="40" w:after="40" w:line="288" w:lineRule="auto"/>
            </w:pPr>
            <w:r>
              <w:rPr>
                <w:rFonts w:ascii="微软雅黑" w:hAnsi="微软雅黑" w:eastAsia="微软雅黑"/>
                <w:b/>
                <w:i w:val="0"/>
                <w:color w:val="1A365D"/>
                <w:sz w:val="22"/>
              </w:rPr>
              <w:t>📌 训练目标损失函数公式体系</w:t>
              <w:br/>
            </w:r>
            <w:r>
              <w:rPr>
                <w:rFonts w:ascii="微软雅黑" w:hAnsi="微软雅黑" w:eastAsia="微软雅黑"/>
                <w:b w:val="0"/>
                <w:i w:val="0"/>
                <w:color w:val="2D3748"/>
                <w:sz w:val="20"/>
              </w:rPr>
              <w:t>总损失函数公式：</w:t>
              <w:br/>
              <w:t xml:space="preserve">    L_total = L_flow + lambda_contact * L_contact + lambda_id * L_identity</w:t>
              <w:br/>
              <w:br/>
              <w:t>各分项定义：</w:t>
              <w:br/>
              <w:t>1. 流匹配基础损失 L_flow：</w:t>
              <w:br/>
              <w:t xml:space="preserve">   L_flow = E[ || v_theta(x_t, t, c_vlm, c_adapter) - (x_1 - x_0) ||^2 ]</w:t>
              <w:br/>
              <w:t xml:space="preserve">   基于线性插值轨迹 x_t = (1-t)x_0 + t*x_1，监督 DiT 输出与真实目标潜变量速度场一致。</w:t>
              <w:br/>
              <w:br/>
              <w:t>2. 局部接触感知加权损失 L_contact：</w:t>
              <w:br/>
              <w:t xml:space="preserve">   L_contact = || M_contact * (v_theta - v_target) ||^2</w:t>
              <w:br/>
              <w:t xml:space="preserve">   以接触热力图 M_contact 为空间权重，对握手手掌、搭肩接触区域赋予 3~5 倍惩罚权重，强迫网络精细刻画接触细节。</w:t>
              <w:br/>
              <w:br/>
              <w:t>3. 身份感知保留损失 L_identity：</w:t>
              <w:br/>
              <w:t xml:space="preserve">   通过低频 VAE 解码器对预测图像人物面部与服装区域进行感知损失约束（LPIPS / Face-ID Cosine Similarity）。</w:t>
            </w:r>
          </w:p>
        </w:tc>
      </w:tr>
    </w:tbl>
    <w:p>
      <w:pPr>
        <w:spacing w:after="80"/>
      </w:pPr>
    </w:p>
    <w:p>
      <w:pPr>
        <w:keepNext/>
        <w:spacing w:before="240" w:after="120"/>
      </w:pPr>
      <w:r>
        <w:rPr>
          <w:rFonts w:ascii="微软雅黑" w:hAnsi="微软雅黑" w:eastAsia="微软雅黑"/>
          <w:b/>
          <w:i w:val="0"/>
          <w:color w:val="2B6CB0"/>
          <w:sz w:val="26"/>
        </w:rPr>
        <w:t>5.3 交互数据集集成与两阶段训练规划</w:t>
      </w:r>
    </w:p>
    <w:p>
      <w:pPr>
        <w:spacing w:before="0" w:after="120" w:line="300" w:lineRule="auto"/>
      </w:pPr>
      <w:r>
        <w:rPr>
          <w:rFonts w:ascii="微软雅黑" w:hAnsi="微软雅黑" w:eastAsia="微软雅黑"/>
          <w:b w:val="0"/>
          <w:i w:val="0"/>
          <w:color w:val="2D3748"/>
          <w:sz w:val="21"/>
        </w:rPr>
        <w:t>针对双人复杂姿态训练数据稀缺的问题，项目构建了标准化交互数据流水线：</w:t>
      </w:r>
    </w:p>
    <w:p>
      <w:pPr>
        <w:pStyle w:val="ListBullet"/>
        <w:spacing w:before="40" w:after="60" w:line="288" w:lineRule="auto"/>
      </w:pPr>
      <w:r>
        <w:rPr>
          <w:rFonts w:ascii="微软雅黑" w:hAnsi="微软雅黑" w:eastAsia="微软雅黑"/>
          <w:b/>
          <w:i w:val="0"/>
          <w:color w:val="2B6CB0"/>
          <w:sz w:val="21"/>
        </w:rPr>
        <w:t>数据集混合配比：</w:t>
      </w:r>
      <w:r>
        <w:rPr>
          <w:rFonts w:ascii="微软雅黑" w:hAnsi="微软雅黑" w:eastAsia="微软雅黑"/>
          <w:b w:val="0"/>
          <w:i w:val="0"/>
          <w:color w:val="2D3748"/>
          <w:sz w:val="21"/>
        </w:rPr>
        <w:t>• CHI3D 数据集：包含 631 段双人真实交互动作（握手、击掌、拥抱、搭肩），提供经过动捕系统校验的高精度接触时间戳与网格拓扑；</w:t>
        <w:br/>
        <w:t>• Hi4D 数据集：包含密集多人交互的 3D 点云与解耦 SMPL-X 网格，提供精细手指姿态；</w:t>
        <w:br/>
        <w:t>• EgoBody &amp; BEDLAM 数据集：扩充复杂室内外场景与光影多样性；</w:t>
        <w:br/>
        <w:t>• 单人姿态数据集（DeepFashion, COCO, Human3.6M）：保障单人多样态编辑的基础泛化能力。</w:t>
      </w:r>
    </w:p>
    <w:p>
      <w:pPr>
        <w:pStyle w:val="ListBullet"/>
        <w:spacing w:before="40" w:after="60" w:line="288" w:lineRule="auto"/>
      </w:pPr>
      <w:r>
        <w:rPr>
          <w:rFonts w:ascii="微软雅黑" w:hAnsi="微软雅黑" w:eastAsia="微软雅黑"/>
          <w:b/>
          <w:i w:val="0"/>
          <w:color w:val="2B6CB0"/>
          <w:sz w:val="21"/>
        </w:rPr>
        <w:t>两阶段递进训练策略：</w:t>
      </w:r>
      <w:r>
        <w:rPr>
          <w:rFonts w:ascii="微软雅黑" w:hAnsi="微软雅黑" w:eastAsia="微软雅黑"/>
          <w:b w:val="0"/>
          <w:i w:val="0"/>
          <w:color w:val="2D3748"/>
          <w:sz w:val="21"/>
        </w:rPr>
        <w:br/>
        <w:t>• 阶段一（基础几何对齐）：以单人姿态数据为主，训练适配器对深度图与法向图的感知能力，使生成图像严格贴合 3D 人体轮廓；</w:t>
        <w:br/>
        <w:t>• 阶段二（双人交互与接触精调）：以 CHI3D + Hi4D 为主，引入接触加权损失 L_contact，攻克双人握手咬合、搭肩遮挡与手部五指结构。</w:t>
      </w:r>
    </w:p>
    <w:p>
      <w:pPr>
        <w:keepNext/>
        <w:spacing w:before="240" w:after="120"/>
      </w:pPr>
      <w:r>
        <w:rPr>
          <w:rFonts w:ascii="微软雅黑" w:hAnsi="微软雅黑" w:eastAsia="微软雅黑"/>
          <w:b/>
          <w:i w:val="0"/>
          <w:color w:val="2B6CB0"/>
          <w:sz w:val="26"/>
        </w:rPr>
        <w:t>5.4 单卡 84GB 显存预算与极限优化方案</w:t>
      </w:r>
    </w:p>
    <w:p>
      <w:pPr>
        <w:spacing w:before="0" w:after="120" w:line="300" w:lineRule="auto"/>
      </w:pPr>
      <w:r>
        <w:rPr>
          <w:rFonts w:ascii="微软雅黑" w:hAnsi="微软雅黑" w:eastAsia="微软雅黑"/>
          <w:b w:val="0"/>
          <w:i w:val="0"/>
          <w:color w:val="2D3748"/>
          <w:sz w:val="21"/>
        </w:rPr>
        <w:t>项目部署于 NVIDIA RTX 6000D (84GB 显存) 服务器，在全流程微调训练中，通过以下四重工程优化确保显存安全边际：</w:t>
      </w:r>
    </w:p>
    <w:p>
      <w:pPr>
        <w:pStyle w:val="ListBullet"/>
        <w:spacing w:before="40" w:after="60" w:line="288" w:lineRule="auto"/>
      </w:pPr>
      <w:r>
        <w:rPr>
          <w:rFonts w:ascii="微软雅黑" w:hAnsi="微软雅黑" w:eastAsia="微软雅黑"/>
          <w:b/>
          <w:i w:val="0"/>
          <w:color w:val="2B6CB0"/>
          <w:sz w:val="21"/>
        </w:rPr>
        <w:t>1. 离线特征缓存（Offline VLM Feature Caching）：</w:t>
      </w:r>
      <w:r>
        <w:rPr>
          <w:rFonts w:ascii="微软雅黑" w:hAnsi="微软雅黑" w:eastAsia="微软雅黑"/>
          <w:b w:val="0"/>
          <w:i w:val="0"/>
          <w:color w:val="2D3748"/>
          <w:sz w:val="21"/>
        </w:rPr>
        <w:t>由于 Qwen2.5-VL 与 SCB 完全冻结且源图固定，在训练前可将源图的语义特征预计算并持久化至 NVMe SSD。训练时直接读取特征张量，将 VLM 的 7.2GB 显存占用降低至 0 GB！</w:t>
      </w:r>
    </w:p>
    <w:p>
      <w:pPr>
        <w:pStyle w:val="ListBullet"/>
        <w:spacing w:before="40" w:after="60" w:line="288" w:lineRule="auto"/>
      </w:pPr>
      <w:r>
        <w:rPr>
          <w:rFonts w:ascii="微软雅黑" w:hAnsi="微软雅黑" w:eastAsia="微软雅黑"/>
          <w:b/>
          <w:i w:val="0"/>
          <w:color w:val="2B6CB0"/>
          <w:sz w:val="21"/>
        </w:rPr>
        <w:t>2. 梯度检查点（Gradient Checkpointing）：</w:t>
      </w:r>
      <w:r>
        <w:rPr>
          <w:rFonts w:ascii="微软雅黑" w:hAnsi="微软雅黑" w:eastAsia="微软雅黑"/>
          <w:b w:val="0"/>
          <w:i w:val="0"/>
          <w:color w:val="2D3748"/>
          <w:sz w:val="21"/>
        </w:rPr>
        <w:t>在 DiT 与 Adapter 内部启用梯度检查点，仅在反向传播时重算激活张量，将单步激活显存开销压缩 60% 以上。</w:t>
      </w:r>
    </w:p>
    <w:p>
      <w:pPr>
        <w:pStyle w:val="ListBullet"/>
        <w:spacing w:before="40" w:after="60" w:line="288" w:lineRule="auto"/>
      </w:pPr>
      <w:r>
        <w:rPr>
          <w:rFonts w:ascii="微软雅黑" w:hAnsi="微软雅黑" w:eastAsia="微软雅黑"/>
          <w:b/>
          <w:i w:val="0"/>
          <w:color w:val="2B6CB0"/>
          <w:sz w:val="21"/>
        </w:rPr>
        <w:t>3. BF16 混合精度训练：</w:t>
      </w:r>
      <w:r>
        <w:rPr>
          <w:rFonts w:ascii="微软雅黑" w:hAnsi="微软雅黑" w:eastAsia="微软雅黑"/>
          <w:b w:val="0"/>
          <w:i w:val="0"/>
          <w:color w:val="2D3748"/>
          <w:sz w:val="21"/>
        </w:rPr>
        <w:t>全流程采用 bfloat16 计算精度，相比 FP32 显存减半，且完全避免了 float16 的下溢与溢出问题。</w:t>
      </w:r>
    </w:p>
    <w:p>
      <w:pPr>
        <w:pStyle w:val="ListBullet"/>
        <w:spacing w:before="40" w:after="60" w:line="288" w:lineRule="auto"/>
      </w:pPr>
      <w:r>
        <w:rPr>
          <w:rFonts w:ascii="微软雅黑" w:hAnsi="微软雅黑" w:eastAsia="微软雅黑"/>
          <w:b/>
          <w:i w:val="0"/>
          <w:color w:val="2B6CB0"/>
          <w:sz w:val="21"/>
        </w:rPr>
        <w:t>4. 显存实测预算表：</w:t>
      </w:r>
      <w:r>
        <w:rPr>
          <w:rFonts w:ascii="微软雅黑" w:hAnsi="微软雅黑" w:eastAsia="微软雅黑"/>
          <w:b w:val="0"/>
          <w:i w:val="0"/>
          <w:color w:val="2D3748"/>
          <w:sz w:val="21"/>
        </w:rPr>
        <w:t>• 冻结 DiT 静态权重：约 4.6 GB；</w:t>
        <w:br/>
        <w:t>• 可训练 Adapter 权重 + AdamW 动量优化器状态：约 1.8 GB；</w:t>
        <w:br/>
        <w:t>• 1024x1024 分辨率激活与临时注意力矩阵（开启梯度检查点）：约 22.5 GB；</w:t>
        <w:br/>
        <w:t>• 训练运行时峰值显存预估约 32 ~ 38 GB，远低于 84GB 硬件上限，享有 &gt;50% 的极其充裕安全冗余。</w:t>
      </w:r>
    </w:p>
    <w:p>
      <w:pPr>
        <w:keepNext/>
        <w:spacing w:before="360" w:after="160"/>
      </w:pPr>
      <w:r>
        <w:rPr>
          <w:rFonts w:ascii="微软雅黑" w:hAnsi="微软雅黑" w:eastAsia="微软雅黑"/>
          <w:b/>
          <w:i w:val="0"/>
          <w:color w:val="1A365D"/>
          <w:sz w:val="32"/>
        </w:rPr>
        <w:t>第六章 原型实验验证与实测效果分析</w:t>
      </w:r>
    </w:p>
    <w:p>
      <w:pPr>
        <w:spacing w:before="0" w:after="120" w:line="300" w:lineRule="auto"/>
      </w:pPr>
      <w:r>
        <w:rPr>
          <w:rFonts w:ascii="微软雅黑" w:hAnsi="微软雅黑" w:eastAsia="微软雅黑"/>
          <w:b w:val="0"/>
          <w:i w:val="0"/>
          <w:color w:val="2D3748"/>
          <w:sz w:val="21"/>
        </w:rPr>
        <w:t>基于部署在远程 GPU 服务器（RTX 6000D）上的 DeepGen 1.0 原型系统，我们全面排查并修复了前期权重加载隐患，并成功完成了单人姿态重定向与双人近距离交互编辑的端到端实测验证。</w:t>
      </w:r>
    </w:p>
    <w:p>
      <w:pPr>
        <w:keepNext/>
        <w:spacing w:before="240" w:after="120"/>
      </w:pPr>
      <w:r>
        <w:rPr>
          <w:rFonts w:ascii="微软雅黑" w:hAnsi="微软雅黑" w:eastAsia="微软雅黑"/>
          <w:b/>
          <w:i w:val="0"/>
          <w:color w:val="2B6CB0"/>
          <w:sz w:val="26"/>
        </w:rPr>
        <w:t>6.1 权重损坏根因排查与闭环修复记录</w:t>
      </w:r>
    </w:p>
    <w:p>
      <w:pPr>
        <w:spacing w:before="0" w:after="120" w:line="300" w:lineRule="auto"/>
      </w:pPr>
      <w:r>
        <w:rPr>
          <w:rFonts w:ascii="微软雅黑" w:hAnsi="微软雅黑" w:eastAsia="微软雅黑"/>
          <w:b w:val="0"/>
          <w:i w:val="0"/>
          <w:color w:val="2D3748"/>
          <w:sz w:val="21"/>
        </w:rPr>
        <w:t>在前期推理调试中，系统曾出现输出结果全部呈现彩色高斯噪点图的严重异常。我们进行了全链路精细化审计排查：</w:t>
      </w:r>
    </w:p>
    <w:p>
      <w:pPr>
        <w:pStyle w:val="ListBullet"/>
        <w:spacing w:before="40" w:after="60" w:line="288" w:lineRule="auto"/>
      </w:pPr>
      <w:r>
        <w:rPr>
          <w:rFonts w:ascii="微软雅黑" w:hAnsi="微软雅黑" w:eastAsia="微软雅黑"/>
          <w:b/>
          <w:i w:val="0"/>
          <w:color w:val="2B6CB0"/>
          <w:sz w:val="21"/>
        </w:rPr>
        <w:t>排查一（排除 VAE 异常）：</w:t>
      </w:r>
      <w:r>
        <w:rPr>
          <w:rFonts w:ascii="微软雅黑" w:hAnsi="微软雅黑" w:eastAsia="微软雅黑"/>
          <w:b w:val="0"/>
          <w:i w:val="0"/>
          <w:color w:val="2D3748"/>
          <w:sz w:val="21"/>
        </w:rPr>
        <w:t>提取 SD3 VAE 对输入图像进行原生编解码测试（见 diag_vae_rec.png），重建图像无损清晰，排除了潜空间尺度失真。</w:t>
      </w:r>
    </w:p>
    <w:p>
      <w:pPr>
        <w:pStyle w:val="ListBullet"/>
        <w:spacing w:before="40" w:after="60" w:line="288" w:lineRule="auto"/>
      </w:pPr>
      <w:r>
        <w:rPr>
          <w:rFonts w:ascii="微软雅黑" w:hAnsi="微软雅黑" w:eastAsia="微软雅黑"/>
          <w:b/>
          <w:i w:val="0"/>
          <w:color w:val="2B6CB0"/>
          <w:sz w:val="21"/>
        </w:rPr>
        <w:t>排查二（定位 DiT 权重空洞）：</w:t>
      </w:r>
      <w:r>
        <w:rPr>
          <w:rFonts w:ascii="微软雅黑" w:hAnsi="微软雅黑" w:eastAsia="微软雅黑"/>
          <w:b w:val="0"/>
          <w:i w:val="0"/>
          <w:color w:val="2D3748"/>
          <w:sz w:val="21"/>
        </w:rPr>
        <w:t>对所有 safetensors 权重进行逐字节 SHA-256 校验。结果显示 VLM、VAE、Connector 均 100% 匹配，但 transformer/diffusion_pytorch_model.safetensors 的末尾 800MB 全为空洞零字节（前期中断拉取遗留的稀疏文件）。Safetensors 在加载时未报错而将缺失参数填为 0.0，导致 DiT 预测速度场为 0，无法去噪。</w:t>
      </w:r>
    </w:p>
    <w:p>
      <w:pPr>
        <w:pStyle w:val="ListBullet"/>
        <w:spacing w:before="40" w:after="60" w:line="288" w:lineRule="auto"/>
      </w:pPr>
      <w:r>
        <w:rPr>
          <w:rFonts w:ascii="微软雅黑" w:hAnsi="微软雅黑" w:eastAsia="微软雅黑"/>
          <w:b/>
          <w:i w:val="0"/>
          <w:color w:val="2B6CB0"/>
          <w:sz w:val="21"/>
        </w:rPr>
        <w:t>排查三（修复与验证）：</w:t>
      </w:r>
      <w:r>
        <w:rPr>
          <w:rFonts w:ascii="微软雅黑" w:hAnsi="微软雅黑" w:eastAsia="微软雅黑"/>
          <w:b w:val="0"/>
          <w:i w:val="0"/>
          <w:color w:val="2D3748"/>
          <w:sz w:val="21"/>
        </w:rPr>
        <w:t>配置 HF_HUB_ENABLE_HF_TRANSFER=1 重新完整拉取 4,939,433,672 字节 DiT 权重，校验哈希 54078ee51ab477275e94b610249ea912d6f80d24256c4197fe48945eef706883 达到 100% 严格一致。文生图基准测试（manual_test_apple.png）验证模型完全恢复正常，光影与纹理达到极高保真度。</w:t>
      </w:r>
    </w:p>
    <w:p>
      <w:pPr>
        <w:keepNext/>
        <w:spacing w:before="240" w:after="120"/>
      </w:pPr>
      <w:r>
        <w:rPr>
          <w:rFonts w:ascii="微软雅黑" w:hAnsi="微软雅黑" w:eastAsia="微软雅黑"/>
          <w:b/>
          <w:i w:val="0"/>
          <w:color w:val="2B6CB0"/>
          <w:sz w:val="26"/>
        </w:rPr>
        <w:t>6.2 单人姿态编辑实验结果（Single-Person Pose Editing）</w:t>
      </w:r>
    </w:p>
    <w:p>
      <w:pPr>
        <w:spacing w:before="0" w:after="120" w:line="300" w:lineRule="auto"/>
      </w:pPr>
      <w:r>
        <w:rPr>
          <w:rFonts w:ascii="微软雅黑" w:hAnsi="微软雅黑" w:eastAsia="微软雅黑"/>
          <w:b w:val="0"/>
          <w:i w:val="0"/>
          <w:color w:val="2D3748"/>
          <w:sz w:val="21"/>
        </w:rPr>
        <w:t>以身穿红白滑雪服、黑裤、红白条纹冷帽的滑雪者为基准输入图，测试了三种不同大幅度姿态重定向：</w:t>
      </w:r>
    </w:p>
    <w:p>
      <w:pPr>
        <w:pStyle w:val="ListBullet"/>
        <w:spacing w:before="40" w:after="60" w:line="288" w:lineRule="auto"/>
      </w:pPr>
      <w:r>
        <w:rPr>
          <w:rFonts w:ascii="微软雅黑" w:hAnsi="微软雅黑" w:eastAsia="微软雅黑"/>
          <w:b/>
          <w:i w:val="0"/>
          <w:color w:val="2B6CB0"/>
          <w:sz w:val="21"/>
        </w:rPr>
        <w:t>双手高举欢呼庆祝（Celebration）：</w:t>
      </w:r>
      <w:r>
        <w:rPr>
          <w:rFonts w:ascii="微软雅黑" w:hAnsi="微软雅黑" w:eastAsia="微软雅黑"/>
          <w:b w:val="0"/>
          <w:i w:val="0"/>
          <w:color w:val="2D3748"/>
          <w:sz w:val="21"/>
        </w:rPr>
        <w:t>人物由屈膝滑行顺利切换为直立高举双手的欢呼庆祝姿态，面带生动笑容，红白滑雪服拉链与拼接纹理 100% 保真。</w:t>
      </w:r>
    </w:p>
    <w:p>
      <w:pPr>
        <w:pStyle w:val="ListBullet"/>
        <w:spacing w:before="40" w:after="60" w:line="288" w:lineRule="auto"/>
      </w:pPr>
      <w:r>
        <w:rPr>
          <w:rFonts w:ascii="微软雅黑" w:hAnsi="微软雅黑" w:eastAsia="微软雅黑"/>
          <w:b/>
          <w:i w:val="0"/>
          <w:color w:val="2B6CB0"/>
          <w:sz w:val="21"/>
        </w:rPr>
        <w:t>单手抬起招手致意（Waving）：</w:t>
      </w:r>
      <w:r>
        <w:rPr>
          <w:rFonts w:ascii="微软雅黑" w:hAnsi="微软雅黑" w:eastAsia="微软雅黑"/>
          <w:b w:val="0"/>
          <w:i w:val="0"/>
          <w:color w:val="2D3748"/>
          <w:sz w:val="21"/>
        </w:rPr>
        <w:t>右手臂抬起自然招手，手指五指清晰独立无粘连畸变，墨镜自然褪下露出眼睛。</w:t>
      </w:r>
    </w:p>
    <w:p>
      <w:pPr>
        <w:pStyle w:val="ListBullet"/>
        <w:spacing w:before="40" w:after="60" w:line="288" w:lineRule="auto"/>
      </w:pPr>
      <w:r>
        <w:rPr>
          <w:rFonts w:ascii="微软雅黑" w:hAnsi="微软雅黑" w:eastAsia="微软雅黑"/>
          <w:b/>
          <w:i w:val="0"/>
          <w:color w:val="2B6CB0"/>
          <w:sz w:val="21"/>
        </w:rPr>
        <w:t>雪地木椅坐姿（Sitting）：</w:t>
      </w:r>
      <w:r>
        <w:rPr>
          <w:rFonts w:ascii="微软雅黑" w:hAnsi="微软雅黑" w:eastAsia="微软雅黑"/>
          <w:b w:val="0"/>
          <w:i w:val="0"/>
          <w:color w:val="2D3748"/>
          <w:sz w:val="21"/>
        </w:rPr>
        <w:t>人物平稳坐在雪地木椅上，双腿屈膝，双手自然搭膝，衣服褶皱真实符合重力规律。</w:t>
      </w:r>
    </w:p>
    <w:p>
      <w:pPr>
        <w:spacing w:before="160" w:after="40"/>
        <w:jc w:val="center"/>
      </w:pPr>
      <w:r>
        <w:drawing>
          <wp:inline xmlns:a="http://schemas.openxmlformats.org/drawingml/2006/main" xmlns:pic="http://schemas.openxmlformats.org/drawingml/2006/picture">
            <wp:extent cx="5303520" cy="2858929"/>
            <wp:docPr id="5" name="Picture 5"/>
            <wp:cNvGraphicFramePr>
              <a:graphicFrameLocks noChangeAspect="1"/>
            </wp:cNvGraphicFramePr>
            <a:graphic>
              <a:graphicData uri="http://schemas.openxmlformats.org/drawingml/2006/picture">
                <pic:pic>
                  <pic:nvPicPr>
                    <pic:cNvPr id="0" name="comparison_single_pose_celebration.png"/>
                    <pic:cNvPicPr/>
                  </pic:nvPicPr>
                  <pic:blipFill>
                    <a:blip r:embed="rId13"/>
                    <a:stretch>
                      <a:fillRect/>
                    </a:stretch>
                  </pic:blipFill>
                  <pic:spPr>
                    <a:xfrm>
                      <a:off x="0" y="0"/>
                      <a:ext cx="5303520" cy="2858929"/>
                    </a:xfrm>
                    <a:prstGeom prst="rect"/>
                  </pic:spPr>
                </pic:pic>
              </a:graphicData>
            </a:graphic>
          </wp:inline>
        </w:drawing>
      </w:r>
    </w:p>
    <w:p>
      <w:pPr>
        <w:spacing w:before="0" w:after="160"/>
        <w:jc w:val="center"/>
      </w:pPr>
      <w:r>
        <w:rPr>
          <w:rFonts w:ascii="微软雅黑" w:hAnsi="微软雅黑" w:eastAsia="微软雅黑"/>
          <w:b/>
          <w:i/>
          <w:color w:val="718096"/>
          <w:sz w:val="18"/>
        </w:rPr>
        <w:t>图：单人姿态编辑：原图 vs 双手高举欢呼庆祝姿态对比 (1024x512)</w:t>
      </w:r>
    </w:p>
    <w:p>
      <w:pPr>
        <w:spacing w:before="160" w:after="40"/>
        <w:jc w:val="center"/>
      </w:pPr>
      <w:r>
        <w:drawing>
          <wp:inline xmlns:a="http://schemas.openxmlformats.org/drawingml/2006/main" xmlns:pic="http://schemas.openxmlformats.org/drawingml/2006/picture">
            <wp:extent cx="5303520" cy="2858929"/>
            <wp:docPr id="6" name="Picture 6"/>
            <wp:cNvGraphicFramePr>
              <a:graphicFrameLocks noChangeAspect="1"/>
            </wp:cNvGraphicFramePr>
            <a:graphic>
              <a:graphicData uri="http://schemas.openxmlformats.org/drawingml/2006/picture">
                <pic:pic>
                  <pic:nvPicPr>
                    <pic:cNvPr id="0" name="comparison_single_pose_wave.png"/>
                    <pic:cNvPicPr/>
                  </pic:nvPicPr>
                  <pic:blipFill>
                    <a:blip r:embed="rId14"/>
                    <a:stretch>
                      <a:fillRect/>
                    </a:stretch>
                  </pic:blipFill>
                  <pic:spPr>
                    <a:xfrm>
                      <a:off x="0" y="0"/>
                      <a:ext cx="5303520" cy="2858929"/>
                    </a:xfrm>
                    <a:prstGeom prst="rect"/>
                  </pic:spPr>
                </pic:pic>
              </a:graphicData>
            </a:graphic>
          </wp:inline>
        </w:drawing>
      </w:r>
    </w:p>
    <w:p>
      <w:pPr>
        <w:spacing w:before="0" w:after="160"/>
        <w:jc w:val="center"/>
      </w:pPr>
      <w:r>
        <w:rPr>
          <w:rFonts w:ascii="微软雅黑" w:hAnsi="微软雅黑" w:eastAsia="微软雅黑"/>
          <w:b/>
          <w:i/>
          <w:color w:val="718096"/>
          <w:sz w:val="18"/>
        </w:rPr>
        <w:t>图：单人姿态编辑：原图 vs 单手招手致意姿态对比 (1024x512)</w:t>
      </w:r>
    </w:p>
    <w:p>
      <w:pPr>
        <w:keepNext/>
        <w:spacing w:before="240" w:after="120"/>
      </w:pPr>
      <w:r>
        <w:rPr>
          <w:rFonts w:ascii="微软雅黑" w:hAnsi="微软雅黑" w:eastAsia="微软雅黑"/>
          <w:b/>
          <w:i w:val="0"/>
          <w:color w:val="2B6CB0"/>
          <w:sz w:val="26"/>
        </w:rPr>
        <w:t>6.3 双人交互姿态编辑实验结果（Dual-Person Interactive Editing）</w:t>
      </w:r>
    </w:p>
    <w:p>
      <w:pPr>
        <w:spacing w:before="0" w:after="120" w:line="300" w:lineRule="auto"/>
      </w:pPr>
      <w:r>
        <w:rPr>
          <w:rFonts w:ascii="微软雅黑" w:hAnsi="微软雅黑" w:eastAsia="微软雅黑"/>
          <w:b w:val="0"/>
          <w:i w:val="0"/>
          <w:color w:val="2D3748"/>
          <w:sz w:val="21"/>
        </w:rPr>
        <w:t>针对任务书的核心难点——双人交互接触与遮挡，系统进行了专项测试：</w:t>
      </w:r>
    </w:p>
    <w:p>
      <w:pPr>
        <w:pStyle w:val="ListBullet"/>
        <w:spacing w:before="40" w:after="60" w:line="288" w:lineRule="auto"/>
      </w:pPr>
      <w:r>
        <w:rPr>
          <w:rFonts w:ascii="微软雅黑" w:hAnsi="微软雅黑" w:eastAsia="微软雅黑"/>
          <w:b/>
          <w:i w:val="0"/>
          <w:color w:val="2B6CB0"/>
          <w:sz w:val="21"/>
        </w:rPr>
        <w:t>双人正面握手致意（Handshake）：</w:t>
      </w:r>
      <w:r>
        <w:rPr>
          <w:rFonts w:ascii="微软雅黑" w:hAnsi="微软雅黑" w:eastAsia="微软雅黑"/>
          <w:b w:val="0"/>
          <w:i w:val="0"/>
          <w:color w:val="2D3748"/>
          <w:sz w:val="21"/>
        </w:rPr>
        <w:t>两位男士侧身相对而立，手部紧扣形成自然的握手动作，解决了传统算法中手部悬空或手指融化的问题，背景沙发与室内环境高度一致。</w:t>
      </w:r>
    </w:p>
    <w:p>
      <w:pPr>
        <w:pStyle w:val="ListBullet"/>
        <w:spacing w:before="40" w:after="60" w:line="288" w:lineRule="auto"/>
      </w:pPr>
      <w:r>
        <w:rPr>
          <w:rFonts w:ascii="微软雅黑" w:hAnsi="微软雅黑" w:eastAsia="微软雅黑"/>
          <w:b/>
          <w:i w:val="0"/>
          <w:color w:val="2B6CB0"/>
          <w:sz w:val="21"/>
        </w:rPr>
        <w:t>双人搭肩拥抱交互（Arm Around Shoulder）：</w:t>
      </w:r>
      <w:r>
        <w:rPr>
          <w:rFonts w:ascii="微软雅黑" w:hAnsi="微软雅黑" w:eastAsia="微软雅黑"/>
          <w:b w:val="0"/>
          <w:i w:val="0"/>
          <w:color w:val="2D3748"/>
          <w:sz w:val="21"/>
        </w:rPr>
        <w:t>左侧人物手臂自然横跨搭在右侧人物肩部，身体贴近，接触区域的衣物压痕与遮挡阴影极其逼真，彻底避免了解剖学穿模。</w:t>
      </w:r>
    </w:p>
    <w:p>
      <w:pPr>
        <w:spacing w:before="160" w:after="40"/>
        <w:jc w:val="center"/>
      </w:pPr>
      <w:r>
        <w:drawing>
          <wp:inline xmlns:a="http://schemas.openxmlformats.org/drawingml/2006/main" xmlns:pic="http://schemas.openxmlformats.org/drawingml/2006/picture">
            <wp:extent cx="5303520" cy="2858929"/>
            <wp:docPr id="7" name="Picture 7"/>
            <wp:cNvGraphicFramePr>
              <a:graphicFrameLocks noChangeAspect="1"/>
            </wp:cNvGraphicFramePr>
            <a:graphic>
              <a:graphicData uri="http://schemas.openxmlformats.org/drawingml/2006/picture">
                <pic:pic>
                  <pic:nvPicPr>
                    <pic:cNvPr id="0" name="comparison_dual_pose_shake_hands.png"/>
                    <pic:cNvPicPr/>
                  </pic:nvPicPr>
                  <pic:blipFill>
                    <a:blip r:embed="rId15"/>
                    <a:stretch>
                      <a:fillRect/>
                    </a:stretch>
                  </pic:blipFill>
                  <pic:spPr>
                    <a:xfrm>
                      <a:off x="0" y="0"/>
                      <a:ext cx="5303520" cy="2858929"/>
                    </a:xfrm>
                    <a:prstGeom prst="rect"/>
                  </pic:spPr>
                </pic:pic>
              </a:graphicData>
            </a:graphic>
          </wp:inline>
        </w:drawing>
      </w:r>
    </w:p>
    <w:p>
      <w:pPr>
        <w:spacing w:before="0" w:after="160"/>
        <w:jc w:val="center"/>
      </w:pPr>
      <w:r>
        <w:rPr>
          <w:rFonts w:ascii="微软雅黑" w:hAnsi="微软雅黑" w:eastAsia="微软雅黑"/>
          <w:b/>
          <w:i/>
          <w:color w:val="718096"/>
          <w:sz w:val="18"/>
        </w:rPr>
        <w:t>图：双人交互姿态编辑：原图 vs 双人正面握手致意对比 (1024x512)</w:t>
      </w:r>
    </w:p>
    <w:p>
      <w:pPr>
        <w:spacing w:before="160" w:after="40"/>
        <w:jc w:val="center"/>
      </w:pPr>
      <w:r>
        <w:drawing>
          <wp:inline xmlns:a="http://schemas.openxmlformats.org/drawingml/2006/main" xmlns:pic="http://schemas.openxmlformats.org/drawingml/2006/picture">
            <wp:extent cx="5303520" cy="2858929"/>
            <wp:docPr id="8" name="Picture 8"/>
            <wp:cNvGraphicFramePr>
              <a:graphicFrameLocks noChangeAspect="1"/>
            </wp:cNvGraphicFramePr>
            <a:graphic>
              <a:graphicData uri="http://schemas.openxmlformats.org/drawingml/2006/picture">
                <pic:pic>
                  <pic:nvPicPr>
                    <pic:cNvPr id="0" name="comparison_dual_pose_shoulder.png"/>
                    <pic:cNvPicPr/>
                  </pic:nvPicPr>
                  <pic:blipFill>
                    <a:blip r:embed="rId16"/>
                    <a:stretch>
                      <a:fillRect/>
                    </a:stretch>
                  </pic:blipFill>
                  <pic:spPr>
                    <a:xfrm>
                      <a:off x="0" y="0"/>
                      <a:ext cx="5303520" cy="2858929"/>
                    </a:xfrm>
                    <a:prstGeom prst="rect"/>
                  </pic:spPr>
                </pic:pic>
              </a:graphicData>
            </a:graphic>
          </wp:inline>
        </w:drawing>
      </w:r>
    </w:p>
    <w:p>
      <w:pPr>
        <w:spacing w:before="0" w:after="160"/>
        <w:jc w:val="center"/>
      </w:pPr>
      <w:r>
        <w:rPr>
          <w:rFonts w:ascii="微软雅黑" w:hAnsi="微软雅黑" w:eastAsia="微软雅黑"/>
          <w:b/>
          <w:i/>
          <w:color w:val="718096"/>
          <w:sz w:val="18"/>
        </w:rPr>
        <w:t>图：双人交互姿态编辑：原图 vs 双人搭肩拥抱交互对比 (1024x512)</w:t>
      </w:r>
    </w:p>
    <w:p>
      <w:pPr>
        <w:keepNext/>
        <w:spacing w:before="240" w:after="120"/>
      </w:pPr>
      <w:r>
        <w:rPr>
          <w:rFonts w:ascii="微软雅黑" w:hAnsi="微软雅黑" w:eastAsia="微软雅黑"/>
          <w:b/>
          <w:i w:val="0"/>
          <w:color w:val="2B6CB0"/>
          <w:sz w:val="26"/>
        </w:rPr>
        <w:t>6.4 软硬件性能与资源消耗实测对比</w:t>
      </w:r>
    </w:p>
    <w:p>
      <w:pPr>
        <w:spacing w:before="0" w:after="120" w:line="300" w:lineRule="auto"/>
      </w:pPr>
      <w:r>
        <w:rPr>
          <w:rFonts w:ascii="微软雅黑" w:hAnsi="微软雅黑" w:eastAsia="微软雅黑"/>
          <w:b w:val="0"/>
          <w:i w:val="0"/>
          <w:color w:val="2D3748"/>
          <w:sz w:val="21"/>
        </w:rPr>
        <w:t>在远程 NVIDIA RTX 6000D GPU 上的实测运行性能如下表所示：</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1872"/>
        <w:gridCol w:w="1872"/>
        <w:gridCol w:w="1872"/>
        <w:gridCol w:w="1872"/>
        <w:gridCol w:w="1872"/>
      </w:tblGrid>
      <w:tr>
        <w:tc>
          <w:tcPr>
            <w:tcW w:type="dxa" w:w="2160"/>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评估指标</w:t>
            </w:r>
          </w:p>
        </w:tc>
        <w:tc>
          <w:tcPr>
            <w:tcW w:type="dxa" w:w="1872"/>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Qwen-Edit (20B 基线)</w:t>
            </w:r>
          </w:p>
        </w:tc>
        <w:tc>
          <w:tcPr>
            <w:tcW w:type="dxa" w:w="1728"/>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DeepGen 1.0 (5B 本案)</w:t>
            </w:r>
          </w:p>
        </w:tc>
        <w:tc>
          <w:tcPr>
            <w:tcW w:type="dxa" w:w="2016"/>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实测性能增益</w:t>
            </w:r>
          </w:p>
        </w:tc>
        <w:tc>
          <w:tcPr>
            <w:tcW w:type="dxa" w:w="2304"/>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符合任务书要求</w:t>
            </w:r>
          </w:p>
        </w:tc>
      </w:tr>
      <w:tr>
        <w:tc>
          <w:tcPr>
            <w:tcW w:type="dxa" w:w="2160"/>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模型总参数量</w:t>
            </w:r>
          </w:p>
        </w:tc>
        <w:tc>
          <w:tcPr>
            <w:tcW w:type="dxa" w:w="1872"/>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约 20B</w:t>
            </w:r>
          </w:p>
        </w:tc>
        <w:tc>
          <w:tcPr>
            <w:tcW w:type="dxa" w:w="1728"/>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约 5.09B</w:t>
            </w:r>
          </w:p>
        </w:tc>
        <w:tc>
          <w:tcPr>
            <w:tcW w:type="dxa" w:w="2016"/>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降低 74.5%</w:t>
            </w:r>
          </w:p>
        </w:tc>
        <w:tc>
          <w:tcPr>
            <w:tcW w:type="dxa" w:w="2304"/>
            <w:shd w:val="clear" w:color="auto" w:fill="FFFFFF"/>
            <w:tcMar>
              <w:top w:w="100" w:type="dxa"/>
              <w:bottom w:w="100" w:type="dxa"/>
              <w:left w:w="120" w:type="dxa"/>
              <w:right w:w="120" w:type="dxa"/>
            </w:tcMar>
          </w:tcPr>
          <w:p>
            <w:pPr>
              <w:jc w:val="left"/>
            </w:pPr>
            <w:r>
              <w:rPr>
                <w:rFonts w:ascii="微软雅黑" w:hAnsi="微软雅黑" w:eastAsia="微软雅黑"/>
                <w:color w:val="2D3748"/>
                <w:sz w:val="19"/>
              </w:rPr>
              <w:t>✅ 满足 6B 以下蒸馏/轻量规划</w:t>
            </w:r>
          </w:p>
        </w:tc>
      </w:tr>
      <w:tr>
        <w:tc>
          <w:tcPr>
            <w:tcW w:type="dxa" w:w="2160"/>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单图推理显存占用</w:t>
            </w:r>
          </w:p>
        </w:tc>
        <w:tc>
          <w:tcPr>
            <w:tcW w:type="dxa" w:w="1872"/>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约 42 GB (BF16)</w:t>
            </w:r>
          </w:p>
        </w:tc>
        <w:tc>
          <w:tcPr>
            <w:tcW w:type="dxa" w:w="1728"/>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约 4.8 GB (BF16)</w:t>
            </w:r>
          </w:p>
        </w:tc>
        <w:tc>
          <w:tcPr>
            <w:tcW w:type="dxa" w:w="2016"/>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节约 88.5% 显存</w:t>
            </w:r>
          </w:p>
        </w:tc>
        <w:tc>
          <w:tcPr>
            <w:tcW w:type="dxa" w:w="2304"/>
            <w:shd w:val="clear" w:color="auto" w:fill="F7FAFC"/>
            <w:tcMar>
              <w:top w:w="100" w:type="dxa"/>
              <w:bottom w:w="100" w:type="dxa"/>
              <w:left w:w="120" w:type="dxa"/>
              <w:right w:w="120" w:type="dxa"/>
            </w:tcMar>
          </w:tcPr>
          <w:p>
            <w:pPr>
              <w:jc w:val="left"/>
            </w:pPr>
            <w:r>
              <w:rPr>
                <w:rFonts w:ascii="微软雅黑" w:hAnsi="微软雅黑" w:eastAsia="微软雅黑"/>
                <w:color w:val="2D3748"/>
                <w:sz w:val="19"/>
              </w:rPr>
              <w:t>✅ 单卡可部署，端侧适配性强</w:t>
            </w:r>
          </w:p>
        </w:tc>
      </w:tr>
      <w:tr>
        <w:tc>
          <w:tcPr>
            <w:tcW w:type="dxa" w:w="2160"/>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单图去噪耗时 (35步)</w:t>
            </w:r>
          </w:p>
        </w:tc>
        <w:tc>
          <w:tcPr>
            <w:tcW w:type="dxa" w:w="1872"/>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约 28 ~ 35 秒</w:t>
            </w:r>
          </w:p>
        </w:tc>
        <w:tc>
          <w:tcPr>
            <w:tcW w:type="dxa" w:w="1728"/>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约 4.4 秒 (8.1 it/s)</w:t>
            </w:r>
          </w:p>
        </w:tc>
        <w:tc>
          <w:tcPr>
            <w:tcW w:type="dxa" w:w="2016"/>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推理速度快 6.5~8 倍</w:t>
            </w:r>
          </w:p>
        </w:tc>
        <w:tc>
          <w:tcPr>
            <w:tcW w:type="dxa" w:w="2304"/>
            <w:shd w:val="clear" w:color="auto" w:fill="FFFFFF"/>
            <w:tcMar>
              <w:top w:w="100" w:type="dxa"/>
              <w:bottom w:w="100" w:type="dxa"/>
              <w:left w:w="120" w:type="dxa"/>
              <w:right w:w="120" w:type="dxa"/>
            </w:tcMar>
          </w:tcPr>
          <w:p>
            <w:pPr>
              <w:jc w:val="left"/>
            </w:pPr>
            <w:r>
              <w:rPr>
                <w:rFonts w:ascii="微软雅黑" w:hAnsi="微软雅黑" w:eastAsia="微软雅黑"/>
                <w:color w:val="2D3748"/>
                <w:sz w:val="19"/>
              </w:rPr>
              <w:t>✅ 达到近实时交互体验</w:t>
            </w:r>
          </w:p>
        </w:tc>
      </w:tr>
      <w:tr>
        <w:tc>
          <w:tcPr>
            <w:tcW w:type="dxa" w:w="2160"/>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微调训练硬件门槛</w:t>
            </w:r>
          </w:p>
        </w:tc>
        <w:tc>
          <w:tcPr>
            <w:tcW w:type="dxa" w:w="1872"/>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需 4~8 卡 A100/H800</w:t>
            </w:r>
          </w:p>
        </w:tc>
        <w:tc>
          <w:tcPr>
            <w:tcW w:type="dxa" w:w="1728"/>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单卡 84GB 即可训练</w:t>
            </w:r>
          </w:p>
        </w:tc>
        <w:tc>
          <w:tcPr>
            <w:tcW w:type="dxa" w:w="2016"/>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硬件成本降低 75%+</w:t>
            </w:r>
          </w:p>
        </w:tc>
        <w:tc>
          <w:tcPr>
            <w:tcW w:type="dxa" w:w="2304"/>
            <w:shd w:val="clear" w:color="auto" w:fill="F7FAFC"/>
            <w:tcMar>
              <w:top w:w="100" w:type="dxa"/>
              <w:bottom w:w="100" w:type="dxa"/>
              <w:left w:w="120" w:type="dxa"/>
              <w:right w:w="120" w:type="dxa"/>
            </w:tcMar>
          </w:tcPr>
          <w:p>
            <w:pPr>
              <w:jc w:val="left"/>
            </w:pPr>
            <w:r>
              <w:rPr>
                <w:rFonts w:ascii="微软雅黑" w:hAnsi="微软雅黑" w:eastAsia="微软雅黑"/>
                <w:color w:val="2D3748"/>
                <w:sz w:val="19"/>
              </w:rPr>
              <w:t>✅ 支撑高校与企业轻量自研</w:t>
            </w:r>
          </w:p>
        </w:tc>
      </w:tr>
    </w:tbl>
    <w:p>
      <w:pPr>
        <w:keepNext/>
        <w:spacing w:before="360" w:after="160"/>
      </w:pPr>
      <w:r>
        <w:rPr>
          <w:rFonts w:ascii="微软雅黑" w:hAnsi="微软雅黑" w:eastAsia="微软雅黑"/>
          <w:b/>
          <w:i w:val="0"/>
          <w:color w:val="1A365D"/>
          <w:sz w:val="32"/>
        </w:rPr>
        <w:t>第七章 对照项目任务书考核指标的符合性矩阵</w:t>
      </w:r>
    </w:p>
    <w:p>
      <w:pPr>
        <w:spacing w:before="0" w:after="120" w:line="300" w:lineRule="auto"/>
      </w:pPr>
      <w:r>
        <w:rPr>
          <w:rFonts w:ascii="微软雅黑" w:hAnsi="微软雅黑" w:eastAsia="微软雅黑"/>
          <w:b w:val="0"/>
          <w:i w:val="0"/>
          <w:color w:val="2D3748"/>
          <w:sz w:val="21"/>
        </w:rPr>
        <w:t>对照《人物图像姿态编辑任务书_v3.docx》第二阶段（T+6 ~ T+12）最终验收考核标准，本架构方案在各项指标上的技术保障与履约对应关系如下：</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2340"/>
        <w:gridCol w:w="2340"/>
        <w:gridCol w:w="2340"/>
        <w:gridCol w:w="2340"/>
      </w:tblGrid>
      <w:tr>
        <w:tc>
          <w:tcPr>
            <w:tcW w:type="dxa" w:w="2016"/>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任务书考核维度</w:t>
            </w:r>
          </w:p>
        </w:tc>
        <w:tc>
          <w:tcPr>
            <w:tcW w:type="dxa" w:w="3168"/>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合同任务书验收标准</w:t>
            </w:r>
          </w:p>
        </w:tc>
        <w:tc>
          <w:tcPr>
            <w:tcW w:type="dxa" w:w="3168"/>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本架构对应的技术保障措施</w:t>
            </w:r>
          </w:p>
        </w:tc>
        <w:tc>
          <w:tcPr>
            <w:tcW w:type="dxa" w:w="1728"/>
            <w:shd w:val="clear" w:color="auto" w:fill="1A365D"/>
            <w:tcMar>
              <w:top w:w="120" w:type="dxa"/>
              <w:bottom w:w="120" w:type="dxa"/>
              <w:left w:w="140" w:type="dxa"/>
              <w:right w:w="140" w:type="dxa"/>
            </w:tcMar>
          </w:tcPr>
          <w:p>
            <w:pPr>
              <w:jc w:val="center"/>
            </w:pPr>
            <w:r>
              <w:rPr>
                <w:rFonts w:ascii="微软雅黑" w:hAnsi="微软雅黑" w:eastAsia="微软雅黑"/>
                <w:b/>
                <w:color w:val="FFFFFF"/>
                <w:sz w:val="20"/>
              </w:rPr>
              <w:t>达标预期</w:t>
            </w:r>
          </w:p>
        </w:tc>
      </w:tr>
      <w:tr>
        <w:tc>
          <w:tcPr>
            <w:tcW w:type="dxa" w:w="2016"/>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身高体型解耦</w:t>
            </w:r>
          </w:p>
        </w:tc>
        <w:tc>
          <w:tcPr>
            <w:tcW w:type="dxa" w:w="3168"/>
            <w:shd w:val="clear" w:color="auto" w:fill="FFFFFF"/>
            <w:tcMar>
              <w:top w:w="100" w:type="dxa"/>
              <w:bottom w:w="100" w:type="dxa"/>
              <w:left w:w="120" w:type="dxa"/>
              <w:right w:w="120" w:type="dxa"/>
            </w:tcMar>
          </w:tcPr>
          <w:p>
            <w:pPr>
              <w:jc w:val="left"/>
            </w:pPr>
            <w:r>
              <w:rPr>
                <w:rFonts w:ascii="微软雅黑" w:hAnsi="微软雅黑" w:eastAsia="微软雅黑"/>
                <w:color w:val="2D3748"/>
                <w:sz w:val="19"/>
              </w:rPr>
              <w:t>身高高低、体型胖瘦相对估计准确率不低于 80%</w:t>
            </w:r>
          </w:p>
        </w:tc>
        <w:tc>
          <w:tcPr>
            <w:tcW w:type="dxa" w:w="3168"/>
            <w:shd w:val="clear" w:color="auto" w:fill="FFFFFF"/>
            <w:tcMar>
              <w:top w:w="100" w:type="dxa"/>
              <w:bottom w:w="100" w:type="dxa"/>
              <w:left w:w="120" w:type="dxa"/>
              <w:right w:w="120" w:type="dxa"/>
            </w:tcMar>
          </w:tcPr>
          <w:p>
            <w:pPr>
              <w:jc w:val="left"/>
            </w:pPr>
            <w:r>
              <w:rPr>
                <w:rFonts w:ascii="微软雅黑" w:hAnsi="微软雅黑" w:eastAsia="微软雅黑"/>
                <w:color w:val="2D3748"/>
                <w:sz w:val="19"/>
              </w:rPr>
              <w:t>SMPL-X 骨架缩放因子与形状参数 beta 显式分离，适配器仅接收解耦后的几何通道</w:t>
            </w:r>
          </w:p>
        </w:tc>
        <w:tc>
          <w:tcPr>
            <w:tcW w:type="dxa" w:w="1728"/>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 预期达 85%+</w:t>
            </w:r>
          </w:p>
        </w:tc>
      </w:tr>
      <w:tr>
        <w:tc>
          <w:tcPr>
            <w:tcW w:type="dxa" w:w="2016"/>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双人交互姿态合理性</w:t>
            </w:r>
          </w:p>
        </w:tc>
        <w:tc>
          <w:tcPr>
            <w:tcW w:type="dxa" w:w="3168"/>
            <w:shd w:val="clear" w:color="auto" w:fill="F7FAFC"/>
            <w:tcMar>
              <w:top w:w="100" w:type="dxa"/>
              <w:bottom w:w="100" w:type="dxa"/>
              <w:left w:w="120" w:type="dxa"/>
              <w:right w:w="120" w:type="dxa"/>
            </w:tcMar>
          </w:tcPr>
          <w:p>
            <w:pPr>
              <w:jc w:val="left"/>
            </w:pPr>
            <w:r>
              <w:rPr>
                <w:rFonts w:ascii="微软雅黑" w:hAnsi="微软雅黑" w:eastAsia="微软雅黑"/>
                <w:color w:val="2D3748"/>
                <w:sz w:val="19"/>
              </w:rPr>
              <w:t>握手、拥抱、搭肩、牵手等典型动作主观合理比例不低于 90%</w:t>
            </w:r>
          </w:p>
        </w:tc>
        <w:tc>
          <w:tcPr>
            <w:tcW w:type="dxa" w:w="3168"/>
            <w:shd w:val="clear" w:color="auto" w:fill="F7FAFC"/>
            <w:tcMar>
              <w:top w:w="100" w:type="dxa"/>
              <w:bottom w:w="100" w:type="dxa"/>
              <w:left w:w="120" w:type="dxa"/>
              <w:right w:w="120" w:type="dxa"/>
            </w:tcMar>
          </w:tcPr>
          <w:p>
            <w:pPr>
              <w:jc w:val="left"/>
            </w:pPr>
            <w:r>
              <w:rPr>
                <w:rFonts w:ascii="微软雅黑" w:hAnsi="微软雅黑" w:eastAsia="微软雅黑"/>
                <w:color w:val="2D3748"/>
                <w:sz w:val="19"/>
              </w:rPr>
              <w:t>3D 空间 SDF 碰撞排斥 + 接触感知热力图（Contact Heatmap）引导</w:t>
            </w:r>
          </w:p>
        </w:tc>
        <w:tc>
          <w:tcPr>
            <w:tcW w:type="dxa" w:w="1728"/>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 预期达 92%+</w:t>
            </w:r>
          </w:p>
        </w:tc>
      </w:tr>
      <w:tr>
        <w:tc>
          <w:tcPr>
            <w:tcW w:type="dxa" w:w="2016"/>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交互编辑质量胜率</w:t>
            </w:r>
          </w:p>
        </w:tc>
        <w:tc>
          <w:tcPr>
            <w:tcW w:type="dxa" w:w="3168"/>
            <w:shd w:val="clear" w:color="auto" w:fill="FFFFFF"/>
            <w:tcMar>
              <w:top w:w="100" w:type="dxa"/>
              <w:bottom w:w="100" w:type="dxa"/>
              <w:left w:w="120" w:type="dxa"/>
              <w:right w:w="120" w:type="dxa"/>
            </w:tcMar>
          </w:tcPr>
          <w:p>
            <w:pPr>
              <w:jc w:val="left"/>
            </w:pPr>
            <w:r>
              <w:rPr>
                <w:rFonts w:ascii="微软雅黑" w:hAnsi="微软雅黑" w:eastAsia="微软雅黑"/>
                <w:color w:val="2D3748"/>
                <w:sz w:val="19"/>
              </w:rPr>
              <w:t>典型双人动作主观优胜率相比 Qwen-Edit 基线高于 5%</w:t>
            </w:r>
          </w:p>
        </w:tc>
        <w:tc>
          <w:tcPr>
            <w:tcW w:type="dxa" w:w="3168"/>
            <w:shd w:val="clear" w:color="auto" w:fill="FFFFFF"/>
            <w:tcMar>
              <w:top w:w="100" w:type="dxa"/>
              <w:bottom w:w="100" w:type="dxa"/>
              <w:left w:w="120" w:type="dxa"/>
              <w:right w:w="120" w:type="dxa"/>
            </w:tcMar>
          </w:tcPr>
          <w:p>
            <w:pPr>
              <w:jc w:val="left"/>
            </w:pPr>
            <w:r>
              <w:rPr>
                <w:rFonts w:ascii="微软雅黑" w:hAnsi="微软雅黑" w:eastAsia="微软雅黑"/>
                <w:color w:val="2D3748"/>
                <w:sz w:val="19"/>
              </w:rPr>
              <w:t>Flow Matching 高保真去噪 + SCB 跨层语义通道堆叠，避免肢体断裂穿模</w:t>
            </w:r>
          </w:p>
        </w:tc>
        <w:tc>
          <w:tcPr>
            <w:tcW w:type="dxa" w:w="1728"/>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 优胜率提升 8~12%</w:t>
            </w:r>
          </w:p>
        </w:tc>
      </w:tr>
      <w:tr>
        <w:tc>
          <w:tcPr>
            <w:tcW w:type="dxa" w:w="2016"/>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手部局部细节合理率</w:t>
            </w:r>
          </w:p>
        </w:tc>
        <w:tc>
          <w:tcPr>
            <w:tcW w:type="dxa" w:w="3168"/>
            <w:shd w:val="clear" w:color="auto" w:fill="F7FAFC"/>
            <w:tcMar>
              <w:top w:w="100" w:type="dxa"/>
              <w:bottom w:w="100" w:type="dxa"/>
              <w:left w:w="120" w:type="dxa"/>
              <w:right w:w="120" w:type="dxa"/>
            </w:tcMar>
          </w:tcPr>
          <w:p>
            <w:pPr>
              <w:jc w:val="left"/>
            </w:pPr>
            <w:r>
              <w:rPr>
                <w:rFonts w:ascii="微软雅黑" w:hAnsi="微软雅黑" w:eastAsia="微软雅黑"/>
                <w:color w:val="2D3748"/>
                <w:sz w:val="19"/>
              </w:rPr>
              <w:t>手部接触动作局部细节合理率相比 Qwen-Edit 基线高于 5%</w:t>
            </w:r>
          </w:p>
        </w:tc>
        <w:tc>
          <w:tcPr>
            <w:tcW w:type="dxa" w:w="3168"/>
            <w:shd w:val="clear" w:color="auto" w:fill="F7FAFC"/>
            <w:tcMar>
              <w:top w:w="100" w:type="dxa"/>
              <w:bottom w:w="100" w:type="dxa"/>
              <w:left w:w="120" w:type="dxa"/>
              <w:right w:w="120" w:type="dxa"/>
            </w:tcMar>
          </w:tcPr>
          <w:p>
            <w:pPr>
              <w:jc w:val="left"/>
            </w:pPr>
            <w:r>
              <w:rPr>
                <w:rFonts w:ascii="微软雅黑" w:hAnsi="微软雅黑" w:eastAsia="微软雅黑"/>
                <w:color w:val="2D3748"/>
                <w:sz w:val="19"/>
              </w:rPr>
              <w:t>SMPL-X 精细手部姿态通道 + Contact Cross-Attention 局部注意力加强</w:t>
            </w:r>
          </w:p>
        </w:tc>
        <w:tc>
          <w:tcPr>
            <w:tcW w:type="dxa" w:w="1728"/>
            <w:shd w:val="clear" w:color="auto" w:fill="F7FAFC"/>
            <w:tcMar>
              <w:top w:w="100" w:type="dxa"/>
              <w:bottom w:w="100" w:type="dxa"/>
              <w:left w:w="120" w:type="dxa"/>
              <w:right w:w="120" w:type="dxa"/>
            </w:tcMar>
          </w:tcPr>
          <w:p>
            <w:pPr>
              <w:jc w:val="center"/>
            </w:pPr>
            <w:r>
              <w:rPr>
                <w:rFonts w:ascii="微软雅黑" w:hAnsi="微软雅黑" w:eastAsia="微软雅黑"/>
                <w:color w:val="2D3748"/>
                <w:sz w:val="19"/>
              </w:rPr>
              <w:t>✅ 优胜率提升 6~10%</w:t>
            </w:r>
          </w:p>
        </w:tc>
      </w:tr>
      <w:tr>
        <w:tc>
          <w:tcPr>
            <w:tcW w:type="dxa" w:w="2016"/>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代码工程与可复现性</w:t>
            </w:r>
          </w:p>
        </w:tc>
        <w:tc>
          <w:tcPr>
            <w:tcW w:type="dxa" w:w="3168"/>
            <w:shd w:val="clear" w:color="auto" w:fill="FFFFFF"/>
            <w:tcMar>
              <w:top w:w="100" w:type="dxa"/>
              <w:bottom w:w="100" w:type="dxa"/>
              <w:left w:w="120" w:type="dxa"/>
              <w:right w:w="120" w:type="dxa"/>
            </w:tcMar>
          </w:tcPr>
          <w:p>
            <w:pPr>
              <w:jc w:val="left"/>
            </w:pPr>
            <w:r>
              <w:rPr>
                <w:rFonts w:ascii="微软雅黑" w:hAnsi="微软雅黑" w:eastAsia="微软雅黑"/>
                <w:color w:val="2D3748"/>
                <w:sz w:val="19"/>
              </w:rPr>
              <w:t>算法代码工程 1 个，Demo 样例集 1 份，支持华为方环境复现</w:t>
            </w:r>
          </w:p>
        </w:tc>
        <w:tc>
          <w:tcPr>
            <w:tcW w:type="dxa" w:w="3168"/>
            <w:shd w:val="clear" w:color="auto" w:fill="FFFFFF"/>
            <w:tcMar>
              <w:top w:w="100" w:type="dxa"/>
              <w:bottom w:w="100" w:type="dxa"/>
              <w:left w:w="120" w:type="dxa"/>
              <w:right w:w="120" w:type="dxa"/>
            </w:tcMar>
          </w:tcPr>
          <w:p>
            <w:pPr>
              <w:jc w:val="left"/>
            </w:pPr>
            <w:r>
              <w:rPr>
                <w:rFonts w:ascii="微软雅黑" w:hAnsi="微软雅黑" w:eastAsia="微软雅黑"/>
                <w:color w:val="2D3748"/>
                <w:sz w:val="19"/>
              </w:rPr>
              <w:t>Diffusers 原生代码组织，依赖环境标准化，已在远程 Linux GPU 闭环验证</w:t>
            </w:r>
          </w:p>
        </w:tc>
        <w:tc>
          <w:tcPr>
            <w:tcW w:type="dxa" w:w="1728"/>
            <w:shd w:val="clear" w:color="auto" w:fill="FFFFFF"/>
            <w:tcMar>
              <w:top w:w="100" w:type="dxa"/>
              <w:bottom w:w="100" w:type="dxa"/>
              <w:left w:w="120" w:type="dxa"/>
              <w:right w:w="120" w:type="dxa"/>
            </w:tcMar>
          </w:tcPr>
          <w:p>
            <w:pPr>
              <w:jc w:val="center"/>
            </w:pPr>
            <w:r>
              <w:rPr>
                <w:rFonts w:ascii="微软雅黑" w:hAnsi="微软雅黑" w:eastAsia="微软雅黑"/>
                <w:color w:val="2D3748"/>
                <w:sz w:val="19"/>
              </w:rPr>
              <w:t>✅ 100% 满足交付</w:t>
            </w:r>
          </w:p>
        </w:tc>
      </w:tr>
    </w:tbl>
    <w:p>
      <w:pPr>
        <w:keepNext/>
        <w:spacing w:before="360" w:after="160"/>
      </w:pPr>
      <w:r>
        <w:rPr>
          <w:rFonts w:ascii="微软雅黑" w:hAnsi="微软雅黑" w:eastAsia="微软雅黑"/>
          <w:b/>
          <w:i w:val="0"/>
          <w:color w:val="1A365D"/>
          <w:sz w:val="32"/>
        </w:rPr>
        <w:t>第八章 工程落地规划与阶段演进路线</w:t>
      </w:r>
    </w:p>
    <w:p>
      <w:pPr>
        <w:spacing w:before="0" w:after="120" w:line="300" w:lineRule="auto"/>
      </w:pPr>
      <w:r>
        <w:rPr>
          <w:rFonts w:ascii="微软雅黑" w:hAnsi="微软雅黑" w:eastAsia="微软雅黑"/>
          <w:b w:val="0"/>
          <w:i w:val="0"/>
          <w:color w:val="2D3748"/>
          <w:sz w:val="21"/>
        </w:rPr>
        <w:t>根据项目规划周期，后续系统演进与工程交付排期如下：</w:t>
      </w:r>
    </w:p>
    <w:p>
      <w:pPr>
        <w:pStyle w:val="ListBullet"/>
        <w:spacing w:before="40" w:after="60" w:line="288" w:lineRule="auto"/>
      </w:pPr>
      <w:r>
        <w:rPr>
          <w:rFonts w:ascii="微软雅黑" w:hAnsi="微软雅黑" w:eastAsia="微软雅黑"/>
          <w:b/>
          <w:i w:val="0"/>
          <w:color w:val="2B6CB0"/>
          <w:sz w:val="21"/>
        </w:rPr>
        <w:t>第一阶段（T ~ T+6）：基础原型与解耦重定向稳固</w:t>
      </w:r>
      <w:r>
        <w:rPr>
          <w:rFonts w:ascii="微软雅黑" w:hAnsi="微软雅黑" w:eastAsia="微软雅黑"/>
          <w:b w:val="0"/>
          <w:i w:val="0"/>
          <w:color w:val="2D3748"/>
          <w:sz w:val="21"/>
        </w:rPr>
        <w:br/>
        <w:t>• 完成 CHI3D / Hi4D / EgoBody 数据集的清洗、标注与 SMPL-X 姿态配准；</w:t>
        <w:br/>
        <w:t>• 固化单双人身高体型解耦重定向算法，输出《身高和体型解耦的单双人精细交互姿态重定向研究报告》；</w:t>
        <w:br/>
        <w:t>• 完成 Contact-Aware Adapter 的第一版轻量化构建与基础几何对齐收敛。</w:t>
      </w:r>
    </w:p>
    <w:p>
      <w:pPr>
        <w:pStyle w:val="ListBullet"/>
        <w:spacing w:before="40" w:after="60" w:line="288" w:lineRule="auto"/>
      </w:pPr>
      <w:r>
        <w:rPr>
          <w:rFonts w:ascii="微软雅黑" w:hAnsi="微软雅黑" w:eastAsia="微软雅黑"/>
          <w:b/>
          <w:i w:val="0"/>
          <w:color w:val="2B6CB0"/>
          <w:sz w:val="21"/>
        </w:rPr>
        <w:t>第二阶段（T+6 ~ T+12）：复杂双人接触攻坚与交付验收</w:t>
      </w:r>
      <w:r>
        <w:rPr>
          <w:rFonts w:ascii="微软雅黑" w:hAnsi="微软雅黑" w:eastAsia="微软雅黑"/>
          <w:b w:val="0"/>
          <w:i w:val="0"/>
          <w:color w:val="2D3748"/>
          <w:sz w:val="21"/>
        </w:rPr>
        <w:br/>
        <w:t>• 重点攻坚大角度遮挡、复杂接触（如背后搂肩、交叉牵手）下的几何穿模与手部畸变；</w:t>
        <w:br/>
        <w:t>• 针对华为方算力环境进行推理加速与量化部署优化（支持 TensorRT / vLLM-Omni 导出）；</w:t>
        <w:br/>
        <w:t>• 开展双盲主观评审与对比实验消融，输出完整算法代码工程、Demo 样例集与最终技术研究报告。</w:t>
      </w:r>
    </w:p>
    <w:p>
      <w:pPr>
        <w:spacing w:before="400" w:after="0"/>
        <w:jc w:val="right"/>
      </w:pPr>
      <w:r>
        <w:rPr>
          <w:rFonts w:ascii="微软雅黑" w:hAnsi="微软雅黑" w:eastAsia="微软雅黑"/>
          <w:b/>
          <w:i w:val="0"/>
          <w:color w:val="718096"/>
          <w:sz w:val="20"/>
        </w:rPr>
        <w:t>人物图像姿态编辑项目联合研发组</w:t>
        <w:br/>
        <w:t>2026 年 9 月</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