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微软雅黑" w:hAnsi="微软雅黑" w:eastAsia="微软雅黑"/>
          <w:b/>
          <w:i w:val="0"/>
          <w:color w:val="1A365D"/>
          <w:sz w:val="36"/>
        </w:rPr>
        <w:t>Qwen-Image-Edit 20B 显存预算与单卡可行性分析简报</w:t>
      </w:r>
    </w:p>
    <w:p>
      <w:pPr>
        <w:spacing w:before="0" w:after="240"/>
        <w:jc w:val="center"/>
      </w:pPr>
      <w:r>
        <w:rPr>
          <w:rFonts w:ascii="微软雅黑" w:hAnsi="微软雅黑" w:eastAsia="微软雅黑"/>
          <w:b w:val="0"/>
          <w:i/>
          <w:color w:val="4A5568"/>
          <w:sz w:val="22"/>
        </w:rPr>
        <w:t>——基于 NVIDIA RTX 6000D (84GB / 可见 83GiB) 平台的推理与外挂适配器训练实测推算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0F4F8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left w:val="single" w:sz="20" w:space="0" w:color="1A365D"/>
              <w:top w:val="none"/>
              <w:bottom w:val="none"/>
              <w:right w:val="none"/>
            </w:tcBorders>
          </w:tcPr>
          <w:p>
            <w:pPr>
              <w:spacing w:before="20" w:after="20" w:line="276" w:lineRule="auto"/>
            </w:pPr>
            <w:r>
              <w:rPr>
                <w:rFonts w:ascii="微软雅黑" w:hAnsi="微软雅黑" w:eastAsia="微软雅黑"/>
                <w:b/>
                <w:i w:val="0"/>
                <w:color w:val="1A365D"/>
                <w:sz w:val="20"/>
              </w:rPr>
              <w:t>⚡ 核心研判与决策建议：</w:t>
              <w:br/>
            </w:r>
            <w:r>
              <w:rPr>
                <w:rFonts w:ascii="微软雅黑" w:hAnsi="微软雅黑" w:eastAsia="微软雅黑"/>
                <w:b w:val="0"/>
                <w:i w:val="0"/>
                <w:color w:val="2D3748"/>
                <w:sz w:val="19"/>
              </w:rPr>
              <w:t>1. 单卡运行可行性：RTX 6000D (可见 83 GiB) 可以稳定支撑 20B 原生 BF16 单图推理（约 60~66 GiB）与【离线缓存条件+梯度检查点】的外挂适配器微调训练（约 52~62 GiB）。</w:t>
              <w:br/>
              <w:t>2. 临界风险警戒：1024 在线编码训练显存将飙升至 72~84+ GiB，极易触发 OOM；若关闭梯度检查点则显存高达 85~110 GiB，必然崩溃。建议严格设立 78 GiB 实验终止红线。</w:t>
              <w:br/>
              <w:t>3. 课题规范与定位：20B 主干严重超出任务书【生成主干低于 6B】的硬性指标。其科学定位应为：【质量上限对照组 (Upper Bound)】与【教师蒸馏数据生成模型】，而非第一交付主干。</w:t>
            </w:r>
          </w:p>
        </w:tc>
      </w:tr>
    </w:tbl>
    <w:p>
      <w:pPr>
        <w:spacing w:after="60"/>
      </w:pP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一、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Qwen-Image-Edit-2511 静态权重体量拆解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官方仓库（Qwen/Qwen-Image-Edit-2511）标注为 20B BF16，仓库总体积约 57.7 GB。各组件存储与静态显存占用如下：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2448"/>
        <w:gridCol w:w="2448"/>
        <w:gridCol w:w="2448"/>
        <w:gridCol w:w="2448"/>
      </w:tblGrid>
      <w:tr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模块组件</w:t>
            </w:r>
          </w:p>
        </w:tc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BF16 权重存储体积</w:t>
            </w:r>
          </w:p>
        </w:tc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显存常驻基础 (GiB)</w:t>
            </w:r>
          </w:p>
        </w:tc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职能与技术特性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20B MMDiT 主干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38.06 GiB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约 38.1 GiB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多模态流匹配生成核心，60 层 Transformer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Qwen2.5-VL 编码器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15.45 GiB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约 15.5 GiB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超大视觉语言理解底座，提取指令与视觉Token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VAE 编解码器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0.24 GiB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约 0.24 GiB</w:t>
            </w:r>
          </w:p>
        </w:tc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潜空间下采样与图像高保真重构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整套 Pipeline 合计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53.74 GiB (约57.7GB)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约 53.8 GiB</w:t>
            </w:r>
          </w:p>
        </w:tc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模型加载后的绝对静态底噪显存</w:t>
            </w:r>
          </w:p>
        </w:tc>
      </w:tr>
    </w:tbl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二、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全场景显存测算全景（推理 vs 外挂训练）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结合当前【冻结主干、只训练外挂适配器】的方案，针对 512、768、1024 三种分辨率推算的显存区间明细如下：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2880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运行配置 / 模式</w:t>
            </w:r>
          </w:p>
        </w:tc>
        <w:tc>
          <w:tcPr>
            <w:tcW w:type="dxa" w:w="1584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512 显存</w:t>
            </w:r>
          </w:p>
        </w:tc>
        <w:tc>
          <w:tcPr>
            <w:tcW w:type="dxa" w:w="1584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768 显存</w:t>
            </w:r>
          </w:p>
        </w:tc>
        <w:tc>
          <w:tcPr>
            <w:tcW w:type="dxa" w:w="1584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1024 显存</w:t>
            </w:r>
          </w:p>
        </w:tc>
        <w:tc>
          <w:tcPr>
            <w:tcW w:type="dxa" w:w="1584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83GiB 设备评估</w:t>
            </w:r>
          </w:p>
        </w:tc>
        <w:tc>
          <w:tcPr>
            <w:tcW w:type="dxa" w:w="1728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安全边际 / 风险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BF16 单图推理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56–62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58–64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60–66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✅ 稳定运行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余量 17~23 GiB，安全</w:t>
            </w:r>
          </w:p>
        </w:tc>
      </w:tr>
      <w:tr>
        <w:tc>
          <w:tcPr>
            <w:tcW w:type="dxa" w:w="28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BF16 双图推理 (含参考图)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59–66 GiB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62–69 GiB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64–72 GiB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✅ 大概率可跑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余量 11~19 GiB，收窄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缓存条件 + 开启梯度检查点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45–51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48–56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52–62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✅ 推荐训练配置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释放 VLM，余量 &gt;21 GiB</w:t>
            </w:r>
          </w:p>
        </w:tc>
      </w:tr>
      <w:tr>
        <w:tc>
          <w:tcPr>
            <w:tcW w:type="dxa" w:w="288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在线编码 + 开启梯度检查点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62–70 GiB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66–77 GiB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72–84+ GiB</w:t>
            </w:r>
          </w:p>
        </w:tc>
        <w:tc>
          <w:tcPr>
            <w:tcW w:type="dxa" w:w="1584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⚠️ 临界高危</w:t>
            </w:r>
          </w:p>
        </w:tc>
        <w:tc>
          <w:tcPr>
            <w:tcW w:type="dxa" w:w="172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1024 存在极大 OOM 风险</w:t>
            </w:r>
          </w:p>
        </w:tc>
      </w:tr>
      <w:tr>
        <w:tc>
          <w:tcPr>
            <w:tcW w:type="dxa" w:w="288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缓存条件 + 关闭梯度检查点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60–72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72–88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85–110 GiB</w:t>
            </w:r>
          </w:p>
        </w:tc>
        <w:tc>
          <w:tcPr>
            <w:tcW w:type="dxa" w:w="15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❌ 严禁使用</w:t>
            </w:r>
          </w:p>
        </w:tc>
        <w:tc>
          <w:tcPr>
            <w:tcW w:type="dxa" w:w="172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768/1024 必然触发 OOM</w:t>
            </w:r>
          </w:p>
        </w:tc>
      </w:tr>
    </w:tbl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实测依据对照：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业界基准对照验证：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1. vLLM-Omni 官方实测：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 1024x1024、50 步 Euler 采样下，原版 Qwen-Image-Edit 单卡峰值约 59.66 GiB，与本表单图推理 60~66 GiB 预测完全吻合。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2. Musubi Tuner 训练基线：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Qwen-Image 1024、batch=1、BF16 开启梯度检查点训练 LoRA 约需 42 GiB；增加参考图与几何适配器后，显存处于 52~62 GiB，证实缓存方案在单卡 84GB 上切实可行。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三、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显存关键瓶颈定位与工程应对策略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要在单张 84GB 显卡上成功驱动 20B 实验，必须执行以下三项强制工程策略：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策略 1：离线特征缓存（Offline Feature Caching）——立减 15.5 GiB：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Qwen2.5-VL 编码器单独占用 15.45 GiB。在训练前将数据集通过 VLM 离线抽取文本与图像 Token 存入 SSD，训练时主显存完全卸载 VLM，将训练基线从 53.8 GiB 降至 38.3 GiB！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策略 2：强制开启梯度检查点（Gradient Checkpointing）：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1024 分辨率下，序列长度达 8192+ Tokens，60 层 MMDiT 激活值极其庞大。若关闭检查点显存达 85~110 GiB（必崩）；开启后仅保留关键前向激活，可压减 65% 动态显存。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策略 3：设立 78 GiB 显存熔断线（Guardrail）：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CUDA 显存碎片（Memory Fragmentation）通常会产生 3~5 GiB 的预留膨胀（Reserved Memory）。将 78 GiB 设为自动停止线，一旦突破立即中断，防止机器整机僵死。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四、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对姿态与交互编辑效果的深层影响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更换 20B (2511) 检查点后，在姿态编辑课题上的利弊分析：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优势预期（大幅改善身份与多人一致性）：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2511 官方重点强化了几何推理与多人一致性，面容漂移（Face Drift）与服饰材质丢失现象将显著优于 5B 模型，尤其有望改善前期在握手（D1）与搭肩（D2）上的纹理保持。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本质局限（无法自动解决 3D 接触与穿模）：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20B 原生模型仍只接受纯文本与参考图，不具备 SMPL-X、深度、法线和接触图感知。肢体穿模、手部悬空等物理接触缺陷依然必须依靠外挂 Adapter 解决。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适配器迁移阻碍（架构不兼容）：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前期为 DeepGen 设计的 1536 维适配器无法直接加载；Qwen 20B 主干有 60 层且维度大幅增加，需要重新设计注入层维度（如从 6 层扩展至 12 层残差头），调参周期较长。</w:t>
      </w:r>
    </w:p>
    <w:p>
      <w:pPr>
        <w:keepNext/>
        <w:spacing w:before="280" w:after="80"/>
      </w:pPr>
      <w:r>
        <w:rPr>
          <w:rFonts w:ascii="微软雅黑" w:hAnsi="微软雅黑" w:eastAsia="微软雅黑"/>
          <w:b/>
          <w:i w:val="0"/>
          <w:color w:val="2B6CB0"/>
          <w:sz w:val="26"/>
        </w:rPr>
        <w:t xml:space="preserve">五、 </w:t>
      </w:r>
      <w:r>
        <w:rPr>
          <w:rFonts w:ascii="微软雅黑" w:hAnsi="微软雅黑" w:eastAsia="微软雅黑"/>
          <w:b/>
          <w:i w:val="0"/>
          <w:color w:val="1A365D"/>
          <w:sz w:val="26"/>
        </w:rPr>
        <w:t>在课题任务书下的定位建议与测试步骤</w:t>
      </w:r>
    </w:p>
    <w:p>
      <w:pPr>
        <w:spacing w:before="0" w:after="80" w:line="288" w:lineRule="auto"/>
      </w:pPr>
      <w:r>
        <w:rPr>
          <w:rFonts w:ascii="微软雅黑" w:hAnsi="微软雅黑" w:eastAsia="微软雅黑"/>
          <w:b w:val="0"/>
          <w:i w:val="0"/>
          <w:color w:val="2D3748"/>
          <w:sz w:val="20"/>
        </w:rPr>
        <w:t>根据《人物图像姿态编辑任务书_v3》中【建议探索 6B 以下蒸馏/轻量模型】的明确要求，提出如下双轨制科研建议：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0"/>
          <w:left w:val="single" w:sz="4" w:space="0" w:color="CBD5E0"/>
          <w:bottom w:val="single" w:sz="4" w:space="0" w:color="CBD5E0"/>
          <w:right w:val="single" w:sz="4" w:space="0" w:color="CBD5E0"/>
          <w:insideH w:val="single" w:sz="4" w:space="0" w:color="CBD5E0"/>
          <w:insideV w:val="none"/>
        </w:tblBorders>
      </w:tblPr>
      <w:tblGrid>
        <w:gridCol w:w="3264"/>
        <w:gridCol w:w="3264"/>
        <w:gridCol w:w="3264"/>
      </w:tblGrid>
      <w:tr>
        <w:tc>
          <w:tcPr>
            <w:tcW w:type="dxa" w:w="2592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技术轨别</w:t>
            </w:r>
          </w:p>
        </w:tc>
        <w:tc>
          <w:tcPr>
            <w:tcW w:type="dxa" w:w="3600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模型选型与配置</w:t>
            </w:r>
          </w:p>
        </w:tc>
        <w:tc>
          <w:tcPr>
            <w:tcW w:type="dxa" w:w="3888"/>
            <w:shd w:val="clear" w:color="auto" w:fill="1A365D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项目职能与交付价值</w:t>
            </w:r>
          </w:p>
        </w:tc>
      </w:tr>
      <w:tr>
        <w:tc>
          <w:tcPr>
            <w:tcW w:type="dxa" w:w="2592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正式交付主干轨</w:t>
              <w:br/>
              <w:t>(主推)</w:t>
            </w:r>
          </w:p>
        </w:tc>
        <w:tc>
          <w:tcPr>
            <w:tcW w:type="dxa" w:w="3600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DeepGen 1.0 (5B)</w:t>
              <w:br/>
              <w:t>+ Contact-Aware Adapter</w:t>
            </w:r>
          </w:p>
        </w:tc>
        <w:tc>
          <w:tcPr>
            <w:tcW w:type="dxa" w:w="3888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• 100% 满足任务书 &lt;6B 轻量硬性指标；</w:t>
              <w:br/>
              <w:t>• 单卡推理仅 4.8GB (4.4s)，微调安全余量 &gt;50%；</w:t>
              <w:br/>
              <w:t>• 承担第一阶段与最终验收的核心交付成果。</w:t>
            </w:r>
          </w:p>
        </w:tc>
      </w:tr>
      <w:tr>
        <w:tc>
          <w:tcPr>
            <w:tcW w:type="dxa" w:w="2592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科学对比上限轨</w:t>
              <w:br/>
              <w:t>(辅助参考)</w:t>
            </w:r>
          </w:p>
        </w:tc>
        <w:tc>
          <w:tcPr>
            <w:tcW w:type="dxa" w:w="3600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Qwen-Image-Edit (20B)</w:t>
              <w:br/>
              <w:t>+ 结构控制 Adapter</w:t>
            </w:r>
          </w:p>
        </w:tc>
        <w:tc>
          <w:tcPr>
            <w:tcW w:type="dxa" w:w="3888"/>
            <w:shd w:val="clear" w:color="auto"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left"/>
            </w:pPr>
            <w:r>
              <w:rPr>
                <w:rFonts w:ascii="微软雅黑" w:hAnsi="微软雅黑" w:eastAsia="微软雅黑"/>
                <w:color w:val="2D3748"/>
                <w:sz w:val="18"/>
              </w:rPr>
              <w:t>• 作为【效果上界 (Upper Bound)】，评估 5B 是否存在容量瓶颈；</w:t>
              <w:br/>
              <w:t>• 作为【高质量教师模型】，生成高质量双人交互伪配对数据；</w:t>
              <w:br/>
              <w:t>• 为下一步 6B 以下蒸馏模型提供对齐监督 Target。</w:t>
            </w:r>
          </w:p>
        </w:tc>
      </w:tr>
    </w:tbl>
    <w:p>
      <w:pPr>
        <w:spacing w:before="0" w:after="40" w:line="288" w:lineRule="auto"/>
      </w:pPr>
      <w:r>
        <w:rPr>
          <w:rFonts w:ascii="微软雅黑" w:hAnsi="微软雅黑" w:eastAsia="微软雅黑"/>
          <w:b/>
          <w:i w:val="0"/>
          <w:color w:val="1A365D"/>
          <w:sz w:val="20"/>
        </w:rPr>
        <w:t>实操测试排期：</w:t>
      </w:r>
      <w:r>
        <w:rPr>
          <w:rFonts w:ascii="微软雅黑" w:hAnsi="微软雅黑" w:eastAsia="微软雅黑"/>
          <w:b w:val="0"/>
          <w:i w:val="0"/>
          <w:color w:val="2D3748"/>
          <w:sz w:val="20"/>
        </w:rPr>
        <w:t>20B 部署测试标准推进顺序（Step-by-Step）：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Step 1 原生推理基线测量：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下载 2511 权重后，先跑 S0、S2、D0、D1 四个原生用例，实测 512、768、1024 静态与峰值显存；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Step 2 适配器小步验证：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重构 Adapter 维度匹配 20B，仅在 512 分辨率执行 3 次反向更新，确认主干冻结哈希不变且 Adapter 梯度正常；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Step 3 阶梯式压力实测：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开启特征缓存与梯度检查点，测试 768 与 1024（5次预热 + 20次连续迭代），确认峰值未突破 78 GiB 红线；</w:t>
      </w:r>
    </w:p>
    <w:p>
      <w:pPr>
        <w:pStyle w:val="ListBullet"/>
        <w:spacing w:before="20" w:after="40" w:line="276" w:lineRule="auto"/>
      </w:pPr>
      <w:r>
        <w:rPr>
          <w:rFonts w:ascii="微软雅黑" w:hAnsi="微软雅黑" w:eastAsia="微软雅黑"/>
          <w:b/>
          <w:i w:val="0"/>
          <w:color w:val="2B6CB0"/>
          <w:sz w:val="19"/>
        </w:rPr>
        <w:t>Step 4 评测对比归档：</w:t>
      </w:r>
      <w:r>
        <w:rPr>
          <w:rFonts w:ascii="微软雅黑" w:hAnsi="微软雅黑" w:eastAsia="微软雅黑"/>
          <w:b w:val="0"/>
          <w:i w:val="0"/>
          <w:color w:val="2D3748"/>
          <w:sz w:val="19"/>
        </w:rPr>
        <w:t>在相同测试集上，横向对比 5B DeepGen 与 20B Qwen-Edit 的握手接触率与 ID 保真度，形成消融实验章节。</w:t>
      </w:r>
    </w:p>
    <w:p>
      <w:pPr>
        <w:spacing w:before="280"/>
        <w:jc w:val="right"/>
      </w:pPr>
      <w:r>
        <w:rPr>
          <w:rFonts w:ascii="微软雅黑" w:hAnsi="微软雅黑" w:eastAsia="微软雅黑"/>
          <w:b/>
          <w:i w:val="0"/>
          <w:color w:val="718096"/>
          <w:sz w:val="18"/>
        </w:rPr>
        <w:t>人物图像姿态编辑课题组 · 显存预算与架构评估 · 2026年9月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