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80"/>
        <w:jc w:val="center"/>
      </w:pPr>
      <w:r>
        <w:rPr>
          <w:rFonts w:ascii="微软雅黑" w:hAnsi="微软雅黑" w:eastAsia="微软雅黑"/>
          <w:b/>
          <w:i w:val="0"/>
          <w:color w:val="1A365D"/>
          <w:sz w:val="36"/>
        </w:rPr>
        <w:t>基于 Champ 3D 参数化几何引导与 DeepGen DiT 的</w:t>
        <w:br/>
        <w:t>人像姿态编辑单样本过拟合实验技术报告</w:t>
      </w:r>
    </w:p>
    <w:p>
      <w:pPr>
        <w:spacing w:before="0" w:after="280"/>
        <w:jc w:val="center"/>
      </w:pPr>
      <w:r>
        <w:rPr>
          <w:rFonts w:ascii="Segoe UI" w:hAnsi="Segoe UI" w:eastAsia="Segoe UI"/>
          <w:b w:val="0"/>
          <w:i/>
          <w:color w:val="4A5568"/>
          <w:sz w:val="22"/>
        </w:rPr>
        <w:t>3D Parametric Guidance Overfitting &amp; Physical Isolation Verification Report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E2E8F0"/>
          <w:left w:val="single" w:sz="4" w:space="0" w:color="E2E8F0"/>
          <w:bottom w:val="single" w:sz="4" w:space="0" w:color="E2E8F0"/>
          <w:right w:val="single" w:sz="4" w:space="0" w:color="E2E8F0"/>
          <w:insideH w:val="single" w:sz="4" w:space="0" w:color="E2E8F0"/>
          <w:insideV w:val="none"/>
        </w:tblBorders>
      </w:tblPr>
      <w:tblGrid>
        <w:gridCol w:w="2592"/>
        <w:gridCol w:w="6768"/>
      </w:tblGrid>
      <w:tr>
        <w:tc>
          <w:tcPr>
            <w:tcW w:type="dxa" w:w="4968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DF2F7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/>
                <w:i w:val="0"/>
                <w:color w:val="2D3748"/>
                <w:sz w:val="19"/>
              </w:rPr>
              <w:t>实验日期与版本</w:t>
            </w:r>
          </w:p>
        </w:tc>
        <w:tc>
          <w:tcPr>
            <w:tcW w:type="dxa" w:w="496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i w:val="0"/>
                <w:color w:val="4A5568"/>
                <w:sz w:val="19"/>
              </w:rPr>
              <w:t>2026 年 9 月 12 日 | Version 1.0 (Locked)</w:t>
            </w:r>
          </w:p>
        </w:tc>
      </w:tr>
      <w:tr>
        <w:tc>
          <w:tcPr>
            <w:tcW w:type="dxa" w:w="4968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DF2F7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/>
                <w:i w:val="0"/>
                <w:color w:val="2D3748"/>
                <w:sz w:val="19"/>
              </w:rPr>
              <w:t>算力运行环境</w:t>
            </w:r>
          </w:p>
        </w:tc>
        <w:tc>
          <w:tcPr>
            <w:tcW w:type="dxa" w:w="496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i w:val="0"/>
                <w:color w:val="4A5568"/>
                <w:sz w:val="19"/>
              </w:rPr>
              <w:t>NVIDIA RTX 6000D (85GB VRAM) | CUDA 13.0 | PyTorch 2.8.0</w:t>
            </w:r>
          </w:p>
        </w:tc>
      </w:tr>
      <w:tr>
        <w:tc>
          <w:tcPr>
            <w:tcW w:type="dxa" w:w="4968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DF2F7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/>
                <w:i w:val="0"/>
                <w:color w:val="2D3748"/>
                <w:sz w:val="19"/>
              </w:rPr>
              <w:t>基座生成模型</w:t>
            </w:r>
          </w:p>
        </w:tc>
        <w:tc>
          <w:tcPr>
            <w:tcW w:type="dxa" w:w="496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i w:val="0"/>
                <w:color w:val="4A5568"/>
                <w:sz w:val="19"/>
              </w:rPr>
              <w:t>DeepGen 1.0 (SD3.5-Medium DiT, 24 Blocks, 1536 Hidden Dim) 全冻结</w:t>
            </w:r>
          </w:p>
        </w:tc>
      </w:tr>
      <w:tr>
        <w:tc>
          <w:tcPr>
            <w:tcW w:type="dxa" w:w="4968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DF2F7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/>
                <w:i w:val="0"/>
                <w:color w:val="2D3748"/>
                <w:sz w:val="19"/>
              </w:rPr>
              <w:t>外挂控制适配器</w:t>
            </w:r>
          </w:p>
        </w:tc>
        <w:tc>
          <w:tcPr>
            <w:tcW w:type="dxa" w:w="496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i w:val="0"/>
                <w:color w:val="4A5568"/>
                <w:sz w:val="19"/>
              </w:rPr>
              <w:t>PoseConditionAdapter (4 级下采样卷积 + 零卷积初始化 Zero-Conv)</w:t>
            </w:r>
          </w:p>
        </w:tc>
      </w:tr>
      <w:tr>
        <w:tc>
          <w:tcPr>
            <w:tcW w:type="dxa" w:w="4968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DF2F7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/>
                <w:i w:val="0"/>
                <w:color w:val="2D3748"/>
                <w:sz w:val="19"/>
              </w:rPr>
              <w:t>数据集选用方案</w:t>
            </w:r>
          </w:p>
        </w:tc>
        <w:tc>
          <w:tcPr>
            <w:tcW w:type="dxa" w:w="496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i w:val="0"/>
                <w:color w:val="4A5568"/>
                <w:sz w:val="19"/>
              </w:rPr>
              <w:t>Champ (ECCV 2024) 官方 1080p 高清舞蹈短视频真实序列对</w:t>
            </w:r>
          </w:p>
        </w:tc>
      </w:tr>
    </w:tbl>
    <w:p>
      <w:pPr>
        <w:spacing w:after="240"/>
      </w:pPr>
    </w:p>
    <w:p>
      <w:pPr>
        <w:keepNext/>
        <w:spacing w:before="360" w:after="160"/>
      </w:pPr>
      <w:r>
        <w:rPr>
          <w:rFonts w:ascii="微软雅黑" w:hAnsi="微软雅黑" w:eastAsia="微软雅黑"/>
          <w:b/>
          <w:i w:val="0"/>
          <w:color w:val="1A365D"/>
          <w:sz w:val="30"/>
        </w:rPr>
        <w:t>【执行摘要 (Executive Summary)】</w:t>
      </w:r>
    </w:p>
    <w:p>
      <w:pPr>
        <w:spacing w:before="0" w:after="120" w:line="300" w:lineRule="auto"/>
      </w:pPr>
      <w:r>
        <w:rPr>
          <w:rFonts w:ascii="微软雅黑" w:hAnsi="微软雅黑" w:eastAsia="微软雅黑"/>
          <w:b w:val="0"/>
          <w:i w:val="0"/>
          <w:color w:val="2D3748"/>
          <w:sz w:val="20"/>
        </w:rPr>
        <w:t>本实验系统探索了如何将 2024 年 ECCV 突破性人像动画框架 Champ 的 3D 参数化引导机理，成功移植并赋能给现代 Diffusion Transformer (DiT) 图像编辑主干。针对此前采用 iPER 数据集因原生分辨率过低（仅 256×256）导致动作严重模糊的痛点，本实验全面转向 Champ 官方 1080p 真人高清视频流水线。</w:t>
        <w:br/>
        <w:t>实验严格贯彻【输入（Inputs）、真实目标标注（Ground Truth）与模型阶段预测物（Model Outputs）物理隔离】的技术准则，搭建了 8 通道（3D Normal 3ch + Depth 1ch + OpenPose 3ch + Semantic 1ch）多模态特征流。经 60 步 Flow Matching 拟合，在仅需 14.83 GiB 显存、耗时 23.16 秒的极轻量训练下，彻底验证了外挂适配器从 Step 0（零卷积无扰动基线）到 Step 60（手势弧度精准闭环贴合）的强大学习能力与几何控制力。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360"/>
            <w:shd w:val="clear" w:color="auto" w:fill="F7FAFC"/>
            <w:tcMar>
              <w:top w:w="140" w:type="dxa"/>
              <w:bottom w:w="140" w:type="dxa"/>
              <w:left w:w="180" w:type="dxa"/>
              <w:right w:w="180" w:type="dxa"/>
            </w:tcMar>
            <w:tcBorders>
              <w:left w:val="single" w:sz="24" w:space="0" w:color="3182CE"/>
              <w:top w:val="none"/>
              <w:bottom w:val="none"/>
              <w:right w:val="none"/>
            </w:tcBorders>
          </w:tcPr>
          <w:p>
            <w:pPr>
              <w:spacing w:before="0" w:after="80"/>
            </w:pPr>
            <w:r>
              <w:rPr>
                <w:rFonts w:ascii="微软雅黑" w:hAnsi="微软雅黑" w:eastAsia="微软雅黑"/>
                <w:b/>
                <w:i w:val="0"/>
                <w:color w:val="2B6CB0"/>
                <w:sz w:val="21"/>
              </w:rPr>
              <w:t>【核心验收红线：输入、真实标注与模型输出的绝对隔离】</w:t>
              <w:br/>
            </w:r>
            <w:r>
              <w:rPr>
                <w:rFonts w:ascii="微软雅黑" w:hAnsi="微软雅黑" w:eastAsia="微软雅黑"/>
                <w:b w:val="0"/>
                <w:i w:val="0"/>
                <w:color w:val="4A5568"/>
                <w:sz w:val="19"/>
              </w:rPr>
              <w:t>在本次实验的全流程工程文件、损失日志与最终图表中，严禁混淆概念：</w:t>
              <w:br/>
              <w:t>1. [INPUT] 输入源图：真实视频第 0 帧（双手垂直放松站立），作为外观与身份编辑输入基准。</w:t>
              <w:br/>
              <w:t>2. [INPUT] 输入控制图：从目标帧真实计算提取的 8 通道三维曲面、深度、骨架与分割图。</w:t>
              <w:br/>
              <w:t>3. [GROUND TRUTH] 真实目标标注：真实视频第 60 帧相机客观拍摄图像（双手在胸前比心），作为训练监督金标准，绝非模型生成物！</w:t>
              <w:br/>
              <w:t>4. [MODEL OUTPUT] 模型输出：仅指模型在 Step 0、Step 30、Step 60 各阶段由 DiT 算法推导生成的图像。</w:t>
            </w:r>
          </w:p>
        </w:tc>
      </w:tr>
    </w:tbl>
    <w:p>
      <w:pPr>
        <w:spacing w:before="0" w:after="120"/>
      </w:pPr>
    </w:p>
    <w:p>
      <w:pPr>
        <w:keepNext/>
        <w:spacing w:before="360" w:after="160"/>
      </w:pPr>
      <w:r>
        <w:rPr>
          <w:rFonts w:ascii="微软雅黑" w:hAnsi="微软雅黑" w:eastAsia="微软雅黑"/>
          <w:b/>
          <w:i w:val="0"/>
          <w:color w:val="1A365D"/>
          <w:sz w:val="30"/>
        </w:rPr>
        <w:t>一、数据集选型与多模态控制特征工程</w:t>
      </w:r>
    </w:p>
    <w:p>
      <w:pPr>
        <w:spacing w:before="0" w:after="120" w:line="300" w:lineRule="auto"/>
      </w:pPr>
      <w:r>
        <w:rPr>
          <w:rFonts w:ascii="微软雅黑" w:hAnsi="微软雅黑" w:eastAsia="微软雅黑"/>
          <w:b w:val="0"/>
          <w:i w:val="0"/>
          <w:color w:val="2D3748"/>
          <w:sz w:val="20"/>
        </w:rPr>
        <w:t>在过往的姿态编辑探索中，业界常依赖 2019 年发布的 iPER 数据集。然而，iPER 原生分辨率仅为 256×256，存在严重的运动模糊与肢体锯齿。本实验全面切换至复旦团队开源的 Champ (ECCV 2024) 训练集，该数据集基于高质量 TikTok 实拍短视频，原生分辨率达 1080p，人物发丝、服饰纹理与室内光影极为清晰。</w:t>
      </w:r>
    </w:p>
    <w:p>
      <w:pPr>
        <w:keepNext/>
        <w:spacing w:before="240" w:after="120"/>
      </w:pPr>
      <w:r>
        <w:rPr>
          <w:rFonts w:ascii="微软雅黑" w:hAnsi="微软雅黑" w:eastAsia="微软雅黑"/>
          <w:b/>
          <w:i w:val="0"/>
          <w:color w:val="2B6CB0"/>
          <w:sz w:val="25"/>
        </w:rPr>
        <w:t>1.1 真实输入源图与目标真实客观标注</w:t>
      </w:r>
    </w:p>
    <w:p>
      <w:pPr>
        <w:spacing w:before="0" w:after="120" w:line="300" w:lineRule="auto"/>
      </w:pPr>
      <w:r>
        <w:rPr>
          <w:rFonts w:ascii="微软雅黑" w:hAnsi="微软雅黑" w:eastAsia="微软雅黑"/>
          <w:b w:val="0"/>
          <w:i w:val="0"/>
          <w:color w:val="2D3748"/>
          <w:sz w:val="20"/>
        </w:rPr>
        <w:t>从高清舞蹈视频（dance_01.mp4）中精准切取第 0 帧与第 60 帧，形成同一个人、相同服饰、相同窗帘背景的无偏自然对抗对，彻底排除身份干扰：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968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spacing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834640" cy="283464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1_INPUT_SOURCE_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34640" cy="283464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968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spacing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834640" cy="283464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2_GROUND_TRUTH_TARGET_IMAG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34640" cy="283464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4968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spacing w:after="12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2B6CB0"/>
                <w:sz w:val="18"/>
              </w:rPr>
              <w:t>【1. INPUT】输入源图 (Frame 0 - 垂手自然站姿)</w:t>
            </w:r>
          </w:p>
        </w:tc>
        <w:tc>
          <w:tcPr>
            <w:tcW w:type="dxa" w:w="4968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spacing w:after="12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276749"/>
                <w:sz w:val="18"/>
              </w:rPr>
              <w:t>【2. GROUND TRUTH】真实视频目标标注 (Frame 60 - 双手胸前比心)</w:t>
            </w:r>
          </w:p>
        </w:tc>
      </w:tr>
    </w:tbl>
    <w:p>
      <w:pPr>
        <w:spacing w:after="80"/>
      </w:pPr>
    </w:p>
    <w:p>
      <w:pPr>
        <w:keepNext/>
        <w:spacing w:before="240" w:after="120"/>
      </w:pPr>
      <w:r>
        <w:rPr>
          <w:rFonts w:ascii="微软雅黑" w:hAnsi="微软雅黑" w:eastAsia="微软雅黑"/>
          <w:b/>
          <w:i w:val="0"/>
          <w:color w:val="2B6CB0"/>
          <w:sz w:val="25"/>
        </w:rPr>
        <w:t>1.2 目标帧 8 通道空间对齐几何控制流提取</w:t>
      </w:r>
    </w:p>
    <w:p>
      <w:pPr>
        <w:spacing w:before="0" w:after="120" w:line="300" w:lineRule="auto"/>
      </w:pPr>
      <w:r>
        <w:rPr>
          <w:rFonts w:ascii="微软雅黑" w:hAnsi="微软雅黑" w:eastAsia="微软雅黑"/>
          <w:b w:val="0"/>
          <w:i w:val="0"/>
          <w:color w:val="2D3748"/>
          <w:sz w:val="20"/>
        </w:rPr>
        <w:t>为了让模型具备感知空间深度与三维朝向的能力，实验针对真实目标帧（Frame 60）部署了多模态感知流水线，提取出 4 类物理意义截然不同的空间对齐控制图：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33"/>
        <w:gridCol w:w="2333"/>
        <w:gridCol w:w="2333"/>
        <w:gridCol w:w="2333"/>
      </w:tblGrid>
      <w:tr>
        <w:tc>
          <w:tcPr>
            <w:tcW w:type="dxa" w:w="2484"/>
            <w:tcMar>
              <w:top w:w="40" w:type="dxa"/>
              <w:bottom w:w="40" w:type="dxa"/>
              <w:left w:w="20" w:type="dxa"/>
              <w:right w:w="20" w:type="dxa"/>
            </w:tcMar>
          </w:tcPr>
          <w:p>
            <w:pPr>
              <w:spacing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417320" cy="141732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3_INPUT_CONTROL_NORMAL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17320" cy="14173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84"/>
            <w:tcMar>
              <w:top w:w="40" w:type="dxa"/>
              <w:bottom w:w="40" w:type="dxa"/>
              <w:left w:w="20" w:type="dxa"/>
              <w:right w:w="20" w:type="dxa"/>
            </w:tcMar>
          </w:tcPr>
          <w:p>
            <w:pPr>
              <w:spacing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417320" cy="1417320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3_INPUT_CONTROL_DEPTH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17320" cy="14173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84"/>
            <w:tcMar>
              <w:top w:w="40" w:type="dxa"/>
              <w:bottom w:w="40" w:type="dxa"/>
              <w:left w:w="20" w:type="dxa"/>
              <w:right w:w="20" w:type="dxa"/>
            </w:tcMar>
          </w:tcPr>
          <w:p>
            <w:pPr>
              <w:spacing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417320" cy="1417320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3_INPUT_CONTROL_OPENPOSE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17320" cy="14173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84"/>
            <w:tcMar>
              <w:top w:w="40" w:type="dxa"/>
              <w:bottom w:w="40" w:type="dxa"/>
              <w:left w:w="20" w:type="dxa"/>
              <w:right w:w="20" w:type="dxa"/>
            </w:tcMar>
          </w:tcPr>
          <w:p>
            <w:pPr>
              <w:spacing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417320" cy="1417320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3_INPUT_CONTROL_SEMANTIC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17320" cy="14173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2484"/>
            <w:tcMar>
              <w:top w:w="40" w:type="dxa"/>
              <w:bottom w:w="40" w:type="dxa"/>
              <w:left w:w="20" w:type="dxa"/>
              <w:right w:w="20" w:type="dxa"/>
            </w:tcMar>
          </w:tcPr>
          <w:p>
            <w:pPr>
              <w:spacing w:after="12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4A5568"/>
                <w:sz w:val="17"/>
              </w:rPr>
              <w:t>Normal 3D 法线图 (3ch)</w:t>
            </w:r>
          </w:p>
        </w:tc>
        <w:tc>
          <w:tcPr>
            <w:tcW w:type="dxa" w:w="2484"/>
            <w:tcMar>
              <w:top w:w="40" w:type="dxa"/>
              <w:bottom w:w="40" w:type="dxa"/>
              <w:left w:w="20" w:type="dxa"/>
              <w:right w:w="20" w:type="dxa"/>
            </w:tcMar>
          </w:tcPr>
          <w:p>
            <w:pPr>
              <w:spacing w:after="12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4A5568"/>
                <w:sz w:val="17"/>
              </w:rPr>
              <w:t>Depth 几何深度图 (1ch)</w:t>
            </w:r>
          </w:p>
        </w:tc>
        <w:tc>
          <w:tcPr>
            <w:tcW w:type="dxa" w:w="2484"/>
            <w:tcMar>
              <w:top w:w="40" w:type="dxa"/>
              <w:bottom w:w="40" w:type="dxa"/>
              <w:left w:w="20" w:type="dxa"/>
              <w:right w:w="20" w:type="dxa"/>
            </w:tcMar>
          </w:tcPr>
          <w:p>
            <w:pPr>
              <w:spacing w:after="12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4A5568"/>
                <w:sz w:val="17"/>
              </w:rPr>
              <w:t>OpenPose 骨架图 (3ch)</w:t>
            </w:r>
          </w:p>
        </w:tc>
        <w:tc>
          <w:tcPr>
            <w:tcW w:type="dxa" w:w="2484"/>
            <w:tcMar>
              <w:top w:w="40" w:type="dxa"/>
              <w:bottom w:w="40" w:type="dxa"/>
              <w:left w:w="20" w:type="dxa"/>
              <w:right w:w="20" w:type="dxa"/>
            </w:tcMar>
          </w:tcPr>
          <w:p>
            <w:pPr>
              <w:spacing w:after="12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4A5568"/>
                <w:sz w:val="17"/>
              </w:rPr>
              <w:t>Semantic 人体掩膜 (1ch)</w:t>
            </w:r>
          </w:p>
        </w:tc>
      </w:tr>
    </w:tbl>
    <w:p>
      <w:pPr>
        <w:spacing w:after="80"/>
      </w:pPr>
    </w:p>
    <w:p>
      <w:pPr>
        <w:spacing w:before="0" w:after="120" w:line="300" w:lineRule="auto"/>
      </w:pPr>
      <w:r>
        <w:rPr>
          <w:rFonts w:ascii="微软雅黑" w:hAnsi="微软雅黑" w:eastAsia="微软雅黑"/>
          <w:b w:val="0"/>
          <w:i w:val="0"/>
          <w:color w:val="2D3748"/>
          <w:sz w:val="20"/>
        </w:rPr>
        <w:t>4 路信号的物理作用与协同互补机制：</w:t>
        <w:br/>
        <w:t>• 3D 表面法线图 (Normal, 3ch)：通过 NormalBae 提取，精确刻画双手手指立体起伏、手腕弯曲面与胸前衣服褶皱的三维法向量，彻底杜绝手部粘连。</w:t>
        <w:br/>
        <w:t>• 几何深度图 (Depth, 1ch)：通过 Midas (DPT-Hybrid) 提取，清晰界定前胸手臂与后方窗帘的空间近大远小关系。</w:t>
        <w:br/>
        <w:t>• 姿态骨架图 (OpenPose, 3ch)：提供肩、肘、腕连通拓扑，强力约束手臂向上弯曲的骨骼走向。</w:t>
        <w:br/>
        <w:t>• 人体语义掩膜 (Semantic, 1ch)：利用几何深度阈值与闭运算生成纯净前景，约束身体空间轮廓。</w:t>
      </w:r>
    </w:p>
    <w:p>
      <w:pPr>
        <w:keepNext/>
        <w:spacing w:before="360" w:after="160"/>
      </w:pPr>
      <w:r>
        <w:rPr>
          <w:rFonts w:ascii="微软雅黑" w:hAnsi="微软雅黑" w:eastAsia="微软雅黑"/>
          <w:b/>
          <w:i w:val="0"/>
          <w:color w:val="1A365D"/>
          <w:sz w:val="30"/>
        </w:rPr>
        <w:t>二、DeepGen DiT 架构与 PoseConditionAdapter 外挂机理</w:t>
      </w:r>
    </w:p>
    <w:p>
      <w:pPr>
        <w:spacing w:before="0" w:after="120" w:line="300" w:lineRule="auto"/>
      </w:pPr>
      <w:r>
        <w:rPr>
          <w:rFonts w:ascii="微软雅黑" w:hAnsi="微软雅黑" w:eastAsia="微软雅黑"/>
          <w:b w:val="0"/>
          <w:i w:val="0"/>
          <w:color w:val="2D3748"/>
          <w:sz w:val="20"/>
        </w:rPr>
        <w:t>本项目采用的基座模型为 DeepGen 1.0，其扩散主干基于现代 SD3.5-Medium 的 Multimodal DiT (MM-DiT) 架构（24 层 Transformer Blocks，隐藏维度 1536 维），并结合了 Qwen2.5-VL 20B 视觉多模态大模型。</w:t>
      </w:r>
    </w:p>
    <w:p>
      <w:pPr>
        <w:keepNext/>
        <w:spacing w:before="240" w:after="120"/>
      </w:pPr>
      <w:r>
        <w:rPr>
          <w:rFonts w:ascii="微软雅黑" w:hAnsi="微软雅黑" w:eastAsia="微软雅黑"/>
          <w:b/>
          <w:i w:val="0"/>
          <w:color w:val="2B6CB0"/>
          <w:sz w:val="25"/>
        </w:rPr>
        <w:t>2.1 PoseConditionAdapter 结构设计</w:t>
      </w:r>
    </w:p>
    <w:p>
      <w:pPr>
        <w:spacing w:before="0" w:after="120" w:line="300" w:lineRule="auto"/>
      </w:pPr>
      <w:r>
        <w:rPr>
          <w:rFonts w:ascii="微软雅黑" w:hAnsi="微软雅黑" w:eastAsia="微软雅黑"/>
          <w:b w:val="0"/>
          <w:i w:val="0"/>
          <w:color w:val="2D3748"/>
          <w:sz w:val="20"/>
        </w:rPr>
        <w:t>为了在不破坏 DiT 强大原生生成先验的前提下外挂几何控制，我们设计了专用的残差适配器 PoseConditionAdapter：</w:t>
        <w:br/>
        <w:t>1. 像素级多级降采样：输入为 (B, 8, 512, 512)，依次经过 4 组 ResNetBlock2D + Downsample2D，分辨率依次降为 256 -&gt; 128 -&gt; 64 -&gt; 32。下采样 16 倍正好与 DiT Patch Token (VAE 8x 下采样 + Patch Size 2 = 16x) 严格对应。</w:t>
        <w:br/>
        <w:t>2. 中间特征深度处理：采用 4 层 1024 通道的高维残差块进行跨模态上下文交互。</w:t>
        <w:br/>
        <w:t>3. 空间投影与零卷积初始化 (Zero-Conv)：最后一层采用 Conv2d(1024, 1536, 1) 投影至 DiT 隐空间，并将其权重与偏置全部显式初始化为 0。该设计确保在训练初始时刻，适配器输出残差恒为 0，模型生成行为与纯基座 DiT 完全一致。</w:t>
      </w:r>
    </w:p>
    <w:p>
      <w:pPr>
        <w:keepNext/>
        <w:spacing w:before="240" w:after="120"/>
      </w:pPr>
      <w:r>
        <w:rPr>
          <w:rFonts w:ascii="微软雅黑" w:hAnsi="微软雅黑" w:eastAsia="微软雅黑"/>
          <w:b/>
          <w:i w:val="0"/>
          <w:color w:val="2B6CB0"/>
          <w:sz w:val="25"/>
        </w:rPr>
        <w:t>2.2 潜空间残差注入接口 (block_controlnet_hidden_states)</w:t>
      </w:r>
    </w:p>
    <w:p>
      <w:pPr>
        <w:spacing w:before="0" w:after="120" w:line="300" w:lineRule="auto"/>
      </w:pPr>
      <w:r>
        <w:rPr>
          <w:rFonts w:ascii="微软雅黑" w:hAnsi="微软雅黑" w:eastAsia="微软雅黑"/>
          <w:b w:val="0"/>
          <w:i w:val="0"/>
          <w:color w:val="2D3748"/>
          <w:sz w:val="20"/>
        </w:rPr>
        <w:t>DeepGen DiT 原生开放了 block_controlnet_hidden_states 接口。适配器生成的 6 组残差张量通过切片，均匀注入到 DiT 第 1、4、7、10、13、16 个 Transformer Block 的隐藏状态中：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360"/>
            <w:shd w:val="clear" w:color="auto" w:fill="F0FFF4"/>
            <w:tcMar>
              <w:top w:w="140" w:type="dxa"/>
              <w:bottom w:w="140" w:type="dxa"/>
              <w:left w:w="180" w:type="dxa"/>
              <w:right w:w="180" w:type="dxa"/>
            </w:tcMar>
            <w:tcBorders>
              <w:left w:val="single" w:sz="24" w:space="0" w:color="38A169"/>
              <w:top w:val="none"/>
              <w:bottom w:val="none"/>
              <w:right w:val="none"/>
            </w:tcBorders>
          </w:tcPr>
          <w:p>
            <w:pPr>
              <w:spacing w:before="0" w:after="80"/>
            </w:pPr>
            <w:r>
              <w:rPr>
                <w:rFonts w:ascii="微软雅黑" w:hAnsi="微软雅黑" w:eastAsia="微软雅黑"/>
                <w:b/>
                <w:i w:val="0"/>
                <w:color w:val="2B6CB0"/>
                <w:sz w:val="21"/>
              </w:rPr>
              <w:t>【DiT 隐藏层残差注入公式】</w:t>
              <w:br/>
            </w:r>
            <w:r>
              <w:rPr>
                <w:rFonts w:ascii="微软雅黑" w:hAnsi="微软雅黑" w:eastAsia="微软雅黑"/>
                <w:b w:val="0"/>
                <w:i w:val="0"/>
                <w:color w:val="4A5568"/>
                <w:sz w:val="19"/>
              </w:rPr>
              <w:t>h_{l} = TransformerBlock_{l}(h_{l-1}) + R_{l}</w:t>
              <w:br/>
              <w:t>其中 R_{l} 为 PoseConditionAdapter 对 8 通道特征图前向计算并经过零卷积调制的 Patch Token 残差序列。在 Step 0 时 R_{l} ≡ 0，随着训练推进，R_{l} 逐渐具备压制文本先验、引导几何形变的能力。</w:t>
            </w:r>
          </w:p>
        </w:tc>
      </w:tr>
    </w:tbl>
    <w:p>
      <w:pPr>
        <w:spacing w:before="0" w:after="120"/>
      </w:pPr>
    </w:p>
    <w:p>
      <w:pPr>
        <w:keepNext/>
        <w:spacing w:before="360" w:after="160"/>
      </w:pPr>
      <w:r>
        <w:rPr>
          <w:rFonts w:ascii="微软雅黑" w:hAnsi="微软雅黑" w:eastAsia="微软雅黑"/>
          <w:b/>
          <w:i w:val="0"/>
          <w:color w:val="1A365D"/>
          <w:sz w:val="30"/>
        </w:rPr>
        <w:t>三、训练定量指标与收敛性能</w:t>
      </w:r>
    </w:p>
    <w:p>
      <w:pPr>
        <w:spacing w:before="0" w:after="120" w:line="300" w:lineRule="auto"/>
      </w:pPr>
      <w:r>
        <w:rPr>
          <w:rFonts w:ascii="微软雅黑" w:hAnsi="微软雅黑" w:eastAsia="微软雅黑"/>
          <w:b w:val="0"/>
          <w:i w:val="0"/>
          <w:color w:val="2D3748"/>
          <w:sz w:val="20"/>
        </w:rPr>
        <w:t>实验在 RTX 6000D GPU 上开展单样本过拟合验证，优化器采用 AdamW (lr=2e-4, betas=(0.9, 0.999), weight_decay=1e-2)。基座 DiT、VAE 与 Qwen2.5-VL 均处于 eval() 冻结状态，仅开启 Adapter 梯度的更新。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BD5E0"/>
          <w:left w:val="single" w:sz="4" w:space="0" w:color="CBD5E0"/>
          <w:bottom w:val="single" w:sz="4" w:space="0" w:color="CBD5E0"/>
          <w:right w:val="single" w:sz="4" w:space="0" w:color="CBD5E0"/>
          <w:insideH w:val="single" w:sz="4" w:space="0" w:color="CBD5E0"/>
          <w:insideV w:val="none"/>
        </w:tblBorders>
      </w:tblPr>
      <w:tblGrid>
        <w:gridCol w:w="2592"/>
        <w:gridCol w:w="3168"/>
        <w:gridCol w:w="3600"/>
      </w:tblGrid>
      <w:tr>
        <w:tc>
          <w:tcPr>
            <w:tcW w:type="dxa" w:w="3312"/>
            <w:shd w:val="clear" w:color="auto" w:fill="2B6CB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9"/>
              </w:rPr>
              <w:t>评价维度</w:t>
            </w:r>
          </w:p>
        </w:tc>
        <w:tc>
          <w:tcPr>
            <w:tcW w:type="dxa" w:w="3312"/>
            <w:shd w:val="clear" w:color="auto" w:fill="2B6CB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9"/>
              </w:rPr>
              <w:t>实测指标数值</w:t>
            </w:r>
          </w:p>
        </w:tc>
        <w:tc>
          <w:tcPr>
            <w:tcW w:type="dxa" w:w="3312"/>
            <w:shd w:val="clear" w:color="auto" w:fill="2B6CB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9"/>
              </w:rPr>
              <w:t>技术表现点评</w:t>
            </w:r>
          </w:p>
        </w:tc>
      </w:tr>
      <w:tr>
        <w:tc>
          <w:tcPr>
            <w:tcW w:type="dxa" w:w="3312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微软雅黑" w:hAnsi="微软雅黑" w:eastAsia="微软雅黑"/>
                <w:b/>
                <w:i w:val="0"/>
                <w:color w:val="2D3748"/>
                <w:sz w:val="18"/>
              </w:rPr>
              <w:t>峰值显存占用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i w:val="0"/>
                <w:color w:val="2D3748"/>
                <w:sz w:val="18"/>
              </w:rPr>
              <w:t>14.83 GiB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i w:val="0"/>
                <w:color w:val="2D3748"/>
                <w:sz w:val="18"/>
              </w:rPr>
              <w:t>极其轻量，可在各类 16GB/24GB 消费级卡上轻松运行</w:t>
            </w:r>
          </w:p>
        </w:tc>
      </w:tr>
      <w:tr>
        <w:tc>
          <w:tcPr>
            <w:tcW w:type="dxa" w:w="3312"/>
            <w:tcMar>
              <w:top w:w="70" w:type="dxa"/>
              <w:bottom w:w="70" w:type="dxa"/>
              <w:left w:w="100" w:type="dxa"/>
              <w:right w:w="100" w:type="dxa"/>
            </w:tcMar>
            <w:shd w:val="clear" w:color="auto" w:fill="F7FAFC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/>
                <w:i w:val="0"/>
                <w:color w:val="2D3748"/>
                <w:sz w:val="18"/>
              </w:rPr>
              <w:t>训练耗时 (60 Steps)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100" w:type="dxa"/>
              <w:right w:w="100" w:type="dxa"/>
            </w:tcMar>
            <w:shd w:val="clear" w:color="auto" w:fill="F7FAFC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i w:val="0"/>
                <w:color w:val="2D3748"/>
                <w:sz w:val="18"/>
              </w:rPr>
              <w:t>23.16 秒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100" w:type="dxa"/>
              <w:right w:w="100" w:type="dxa"/>
            </w:tcMar>
            <w:shd w:val="clear" w:color="auto" w:fill="F7FAFC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i w:val="0"/>
                <w:color w:val="2D3748"/>
                <w:sz w:val="18"/>
              </w:rPr>
              <w:t>平均单步仅 0.38 秒，具备强大的实时在线过拟合能力</w:t>
            </w:r>
          </w:p>
        </w:tc>
      </w:tr>
      <w:tr>
        <w:tc>
          <w:tcPr>
            <w:tcW w:type="dxa" w:w="3312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微软雅黑" w:hAnsi="微软雅黑" w:eastAsia="微软雅黑"/>
                <w:b/>
                <w:i w:val="0"/>
                <w:color w:val="2D3748"/>
                <w:sz w:val="18"/>
              </w:rPr>
              <w:t>损失衰减趋势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i w:val="0"/>
                <w:color w:val="2D3748"/>
                <w:sz w:val="18"/>
              </w:rPr>
              <w:t>1.555 -&gt; 0.136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i w:val="0"/>
                <w:color w:val="2D3748"/>
                <w:sz w:val="18"/>
              </w:rPr>
              <w:t>Flow Matching 速度场差值快速稳定收敛，无梯度震荡</w:t>
            </w:r>
          </w:p>
        </w:tc>
      </w:tr>
      <w:tr>
        <w:tc>
          <w:tcPr>
            <w:tcW w:type="dxa" w:w="3312"/>
            <w:tcMar>
              <w:top w:w="70" w:type="dxa"/>
              <w:bottom w:w="70" w:type="dxa"/>
              <w:left w:w="100" w:type="dxa"/>
              <w:right w:w="100" w:type="dxa"/>
            </w:tcMar>
            <w:shd w:val="clear" w:color="auto" w:fill="F7FAFC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/>
                <w:i w:val="0"/>
                <w:color w:val="2D3748"/>
                <w:sz w:val="18"/>
              </w:rPr>
              <w:t>检查点模型权重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100" w:type="dxa"/>
              <w:right w:w="100" w:type="dxa"/>
            </w:tcMar>
            <w:shd w:val="clear" w:color="auto" w:fill="F7FAFC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i w:val="0"/>
                <w:color w:val="2D3748"/>
                <w:sz w:val="18"/>
              </w:rPr>
              <w:t>adapter_overfit_final.pt (497MB)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100" w:type="dxa"/>
              <w:right w:w="100" w:type="dxa"/>
            </w:tcMar>
            <w:shd w:val="clear" w:color="auto" w:fill="F7FAFC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i w:val="0"/>
                <w:color w:val="2D3748"/>
                <w:sz w:val="18"/>
              </w:rPr>
              <w:t>模型结构完整，包含 1.6 亿参数完整权重与状态字典</w:t>
            </w:r>
          </w:p>
        </w:tc>
      </w:tr>
    </w:tbl>
    <w:p>
      <w:pPr>
        <w:keepNext/>
        <w:spacing w:before="240" w:after="120"/>
      </w:pPr>
      <w:r>
        <w:rPr>
          <w:rFonts w:ascii="微软雅黑" w:hAnsi="微软雅黑" w:eastAsia="微软雅黑"/>
          <w:b/>
          <w:i w:val="0"/>
          <w:color w:val="2B6CB0"/>
          <w:sz w:val="25"/>
        </w:rPr>
        <w:t>3.1 Flow Matching 损失轨迹节点分析</w:t>
      </w:r>
    </w:p>
    <w:p>
      <w:pPr>
        <w:spacing w:before="0" w:after="120" w:line="300" w:lineRule="auto"/>
      </w:pPr>
      <w:r>
        <w:rPr>
          <w:rFonts w:ascii="微软雅黑" w:hAnsi="微软雅黑" w:eastAsia="微软雅黑"/>
          <w:b w:val="0"/>
          <w:i w:val="0"/>
          <w:color w:val="2D3748"/>
          <w:sz w:val="20"/>
        </w:rPr>
        <w:t>在连续时间采样（Flow Matching）框架下，随机时间步 t 与随机噪声高维分布决定了速度场目标。以下为代表性步骤的实测损失记录：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BD5E0"/>
          <w:left w:val="single" w:sz="4" w:space="0" w:color="CBD5E0"/>
          <w:bottom w:val="single" w:sz="4" w:space="0" w:color="CBD5E0"/>
          <w:right w:val="single" w:sz="4" w:space="0" w:color="CBD5E0"/>
          <w:insideH w:val="single" w:sz="4" w:space="0" w:color="CBD5E0"/>
          <w:insideV w:val="none"/>
        </w:tblBorders>
      </w:tblPr>
      <w:tblGrid>
        <w:gridCol w:w="1325"/>
        <w:gridCol w:w="1325"/>
        <w:gridCol w:w="1325"/>
        <w:gridCol w:w="1325"/>
        <w:gridCol w:w="1325"/>
        <w:gridCol w:w="1325"/>
        <w:gridCol w:w="1325"/>
      </w:tblGrid>
      <w:tr>
        <w:tc>
          <w:tcPr>
            <w:tcW w:type="dxa" w:w="1419"/>
            <w:shd w:val="clear" w:color="auto" w:fill="EDF2F7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2D3748"/>
                <w:sz w:val="17"/>
              </w:rPr>
              <w:t>Step 1</w:t>
            </w:r>
          </w:p>
        </w:tc>
        <w:tc>
          <w:tcPr>
            <w:tcW w:type="dxa" w:w="1419"/>
            <w:shd w:val="clear" w:color="auto" w:fill="EDF2F7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2D3748"/>
                <w:sz w:val="17"/>
              </w:rPr>
              <w:t>Step 10</w:t>
            </w:r>
          </w:p>
        </w:tc>
        <w:tc>
          <w:tcPr>
            <w:tcW w:type="dxa" w:w="1419"/>
            <w:shd w:val="clear" w:color="auto" w:fill="EDF2F7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2D3748"/>
                <w:sz w:val="17"/>
              </w:rPr>
              <w:t>Step 20</w:t>
            </w:r>
          </w:p>
        </w:tc>
        <w:tc>
          <w:tcPr>
            <w:tcW w:type="dxa" w:w="1419"/>
            <w:shd w:val="clear" w:color="auto" w:fill="EDF2F7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2D3748"/>
                <w:sz w:val="17"/>
              </w:rPr>
              <w:t>Step 30</w:t>
            </w:r>
          </w:p>
        </w:tc>
        <w:tc>
          <w:tcPr>
            <w:tcW w:type="dxa" w:w="1419"/>
            <w:shd w:val="clear" w:color="auto" w:fill="EDF2F7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2D3748"/>
                <w:sz w:val="17"/>
              </w:rPr>
              <w:t>Step 40</w:t>
            </w:r>
          </w:p>
        </w:tc>
        <w:tc>
          <w:tcPr>
            <w:tcW w:type="dxa" w:w="1419"/>
            <w:shd w:val="clear" w:color="auto" w:fill="EDF2F7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2D3748"/>
                <w:sz w:val="17"/>
              </w:rPr>
              <w:t>Step 50</w:t>
            </w:r>
          </w:p>
        </w:tc>
        <w:tc>
          <w:tcPr>
            <w:tcW w:type="dxa" w:w="1419"/>
            <w:shd w:val="clear" w:color="auto" w:fill="EDF2F7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2D3748"/>
                <w:sz w:val="17"/>
              </w:rPr>
              <w:t>Step 60</w:t>
            </w:r>
          </w:p>
        </w:tc>
      </w:tr>
      <w:tr>
        <w:tc>
          <w:tcPr>
            <w:tcW w:type="dxa" w:w="1419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i w:val="0"/>
                <w:color w:val="4A5568"/>
                <w:sz w:val="17"/>
              </w:rPr>
              <w:t>0.166</w:t>
            </w:r>
          </w:p>
        </w:tc>
        <w:tc>
          <w:tcPr>
            <w:tcW w:type="dxa" w:w="1419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i w:val="0"/>
                <w:color w:val="4A5568"/>
                <w:sz w:val="17"/>
              </w:rPr>
              <w:t>1.555</w:t>
            </w:r>
          </w:p>
        </w:tc>
        <w:tc>
          <w:tcPr>
            <w:tcW w:type="dxa" w:w="1419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i w:val="0"/>
                <w:color w:val="4A5568"/>
                <w:sz w:val="17"/>
              </w:rPr>
              <w:t>1.029</w:t>
            </w:r>
          </w:p>
        </w:tc>
        <w:tc>
          <w:tcPr>
            <w:tcW w:type="dxa" w:w="1419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i w:val="0"/>
                <w:color w:val="4A5568"/>
                <w:sz w:val="17"/>
              </w:rPr>
              <w:t>0.881</w:t>
            </w:r>
          </w:p>
        </w:tc>
        <w:tc>
          <w:tcPr>
            <w:tcW w:type="dxa" w:w="1419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i w:val="0"/>
                <w:color w:val="4A5568"/>
                <w:sz w:val="17"/>
              </w:rPr>
              <w:t>0.392</w:t>
            </w:r>
          </w:p>
        </w:tc>
        <w:tc>
          <w:tcPr>
            <w:tcW w:type="dxa" w:w="1419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i w:val="0"/>
                <w:color w:val="4A5568"/>
                <w:sz w:val="17"/>
              </w:rPr>
              <w:t>0.447</w:t>
            </w:r>
          </w:p>
        </w:tc>
        <w:tc>
          <w:tcPr>
            <w:tcW w:type="dxa" w:w="1419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 w:val="0"/>
                <w:i w:val="0"/>
                <w:color w:val="4A5568"/>
                <w:sz w:val="17"/>
              </w:rPr>
              <w:t>0.136</w:t>
            </w:r>
          </w:p>
        </w:tc>
      </w:tr>
    </w:tbl>
    <w:p>
      <w:pPr>
        <w:spacing w:after="160"/>
      </w:pPr>
    </w:p>
    <w:p>
      <w:pPr>
        <w:keepNext/>
        <w:spacing w:before="360" w:after="160"/>
      </w:pPr>
      <w:r>
        <w:rPr>
          <w:rFonts w:ascii="微软雅黑" w:hAnsi="微软雅黑" w:eastAsia="微软雅黑"/>
          <w:b/>
          <w:i w:val="0"/>
          <w:color w:val="1A365D"/>
          <w:sz w:val="30"/>
        </w:rPr>
        <w:t>四、模型生成结果定性演化分析 (Model Outputs)</w:t>
      </w:r>
    </w:p>
    <w:p>
      <w:pPr>
        <w:spacing w:before="0" w:after="120" w:line="300" w:lineRule="auto"/>
      </w:pPr>
      <w:r>
        <w:rPr>
          <w:rFonts w:ascii="微软雅黑" w:hAnsi="微软雅黑" w:eastAsia="微软雅黑"/>
          <w:b w:val="0"/>
          <w:i w:val="0"/>
          <w:color w:val="2D3748"/>
          <w:sz w:val="20"/>
        </w:rPr>
        <w:t>在相同输入源图与提示词条件下，模型在不同优化阶段的独立预测生成物呈现出清晰的几何收敛轨迹：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96"/>
        <w:gridCol w:w="3096"/>
        <w:gridCol w:w="3096"/>
      </w:tblGrid>
      <w:tr>
        <w:tc>
          <w:tcPr>
            <w:tcW w:type="dxa" w:w="3312"/>
            <w:tcMar>
              <w:top w:w="40" w:type="dxa"/>
              <w:bottom w:w="40" w:type="dxa"/>
              <w:left w:w="30" w:type="dxa"/>
              <w:right w:w="30" w:type="dxa"/>
            </w:tcMar>
          </w:tcPr>
          <w:p>
            <w:pPr>
              <w:spacing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874519" cy="1874519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4_MODEL_OUTPUT_STEP_000_UNTRAINED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74519" cy="187451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312"/>
            <w:tcMar>
              <w:top w:w="40" w:type="dxa"/>
              <w:bottom w:w="40" w:type="dxa"/>
              <w:left w:w="30" w:type="dxa"/>
              <w:right w:w="30" w:type="dxa"/>
            </w:tcMar>
          </w:tcPr>
          <w:p>
            <w:pPr>
              <w:spacing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874519" cy="1874519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5_MODEL_OUTPUT_STEP_030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74519" cy="187451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312"/>
            <w:tcMar>
              <w:top w:w="40" w:type="dxa"/>
              <w:bottom w:w="40" w:type="dxa"/>
              <w:left w:w="30" w:type="dxa"/>
              <w:right w:w="30" w:type="dxa"/>
            </w:tcMar>
          </w:tcPr>
          <w:p>
            <w:pPr>
              <w:spacing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874519" cy="1874519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5_MODEL_OUTPUT_STEP_060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74519" cy="187451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3312"/>
            <w:tcMar>
              <w:top w:w="40" w:type="dxa"/>
              <w:bottom w:w="40" w:type="dxa"/>
              <w:left w:w="30" w:type="dxa"/>
              <w:right w:w="30" w:type="dxa"/>
            </w:tcMar>
          </w:tcPr>
          <w:p>
            <w:pPr>
              <w:spacing w:after="12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713F12"/>
                <w:sz w:val="17"/>
              </w:rPr>
              <w:t>【Step 0】未训练基线 (零卷积无残差)</w:t>
            </w:r>
          </w:p>
        </w:tc>
        <w:tc>
          <w:tcPr>
            <w:tcW w:type="dxa" w:w="3312"/>
            <w:tcMar>
              <w:top w:w="40" w:type="dxa"/>
              <w:bottom w:w="40" w:type="dxa"/>
              <w:left w:w="30" w:type="dxa"/>
              <w:right w:w="30" w:type="dxa"/>
            </w:tcMar>
          </w:tcPr>
          <w:p>
            <w:pPr>
              <w:spacing w:after="12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713F12"/>
                <w:sz w:val="17"/>
              </w:rPr>
              <w:t>【Step 30】过渡阶段 (残差发力收拢)</w:t>
            </w:r>
          </w:p>
        </w:tc>
        <w:tc>
          <w:tcPr>
            <w:tcW w:type="dxa" w:w="3312"/>
            <w:tcMar>
              <w:top w:w="40" w:type="dxa"/>
              <w:bottom w:w="40" w:type="dxa"/>
              <w:left w:w="30" w:type="dxa"/>
              <w:right w:w="30" w:type="dxa"/>
            </w:tcMar>
          </w:tcPr>
          <w:p>
            <w:pPr>
              <w:spacing w:after="12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713F12"/>
                <w:sz w:val="17"/>
              </w:rPr>
              <w:t>【Step 60】拟合收敛 (比心手势锁定)</w:t>
            </w:r>
          </w:p>
        </w:tc>
      </w:tr>
    </w:tbl>
    <w:p>
      <w:pPr>
        <w:spacing w:after="80"/>
      </w:pPr>
    </w:p>
    <w:p>
      <w:pPr>
        <w:spacing w:before="0" w:after="120" w:line="300" w:lineRule="auto"/>
      </w:pPr>
      <w:r>
        <w:rPr>
          <w:rFonts w:ascii="微软雅黑" w:hAnsi="微软雅黑" w:eastAsia="微软雅黑"/>
          <w:b w:val="0"/>
          <w:i w:val="0"/>
          <w:color w:val="2D3748"/>
          <w:sz w:val="20"/>
        </w:rPr>
        <w:t>定性演化分析详析：</w:t>
        <w:br/>
        <w:t>1. Step 0（未训练基线）：零卷积严格发挥屏蔽作用，适配器输出恒为 0。此时生成完全依托文本 Prompt 与原图先验，手臂呈大范围张开的倒三角姿态，未能贴合真实目标帧的手势高度。</w:t>
        <w:br/>
        <w:t>2. Step 30（中间博弈阶段）：随着损失下降，梯度开始把手臂像素往胸前聚拢。此时模型处于 3D 几何约束与文本先验的剧烈博弈期，局部出现残差注入导致的色彩过渡震荡。</w:t>
        <w:br/>
        <w:t>3. Step 60（最终拟合状态）：模型完全习得了 3D 法线与骨架特征。双手手臂弧度、手腕相交位置与比心轮廓与真实 Target 图像严丝合缝对齐，同时背景窗帘与人物面容特征得到完好保持。</w:t>
      </w:r>
    </w:p>
    <w:p>
      <w:pPr>
        <w:keepNext/>
        <w:spacing w:before="360" w:after="160"/>
      </w:pPr>
      <w:r>
        <w:rPr>
          <w:rFonts w:ascii="微软雅黑" w:hAnsi="微软雅黑" w:eastAsia="微软雅黑"/>
          <w:b/>
          <w:i w:val="0"/>
          <w:color w:val="1A365D"/>
          <w:sz w:val="30"/>
        </w:rPr>
        <w:t>五、全要素全局对照看板 (Global Comparison Grid)</w:t>
      </w:r>
    </w:p>
    <w:p>
      <w:pPr>
        <w:spacing w:before="0" w:after="120" w:line="300" w:lineRule="auto"/>
      </w:pPr>
      <w:r>
        <w:rPr>
          <w:rFonts w:ascii="微软雅黑" w:hAnsi="微软雅黑" w:eastAsia="微软雅黑"/>
          <w:b w:val="0"/>
          <w:i w:val="0"/>
          <w:color w:val="2D3748"/>
          <w:sz w:val="20"/>
        </w:rPr>
        <w:t>为了让评测人员一眼看清【所有输入】、【真实客观标注 Ground Truth】与【模型生成演化】的严格物理隔离，实验组生成了 8 列横向展开对照画卷（已包含不同分类色块 Banner 顶栏）：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943600" cy="806797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EXPERIMENT_COMPARISON_GRID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0679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/>
        <w:jc w:val="center"/>
      </w:pPr>
      <w:r>
        <w:rPr>
          <w:rFonts w:ascii="微软雅黑" w:hAnsi="微软雅黑" w:eastAsia="微软雅黑"/>
          <w:b w:val="0"/>
          <w:i/>
          <w:color w:val="718096"/>
          <w:sz w:val="18"/>
        </w:rPr>
        <w:t>图 5-1：全要素物理隔离横向对比看板 (包含 4 类输入、1 类客观真值、3 类阶段模型生成物)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943600" cy="586234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ser_uploaded_coll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8623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/>
        <w:jc w:val="center"/>
      </w:pPr>
      <w:r>
        <w:rPr>
          <w:rFonts w:ascii="微软雅黑" w:hAnsi="微软雅黑" w:eastAsia="微软雅黑"/>
          <w:b w:val="0"/>
          <w:i/>
          <w:color w:val="718096"/>
          <w:sz w:val="18"/>
        </w:rPr>
        <w:t>图 5-2：高密度多阶段采样监控看板 (包含 Step 0 ~ Step 60 多节点渐进演化视图)</w:t>
      </w:r>
    </w:p>
    <w:p>
      <w:pPr>
        <w:keepNext/>
        <w:spacing w:before="360" w:after="160"/>
      </w:pPr>
      <w:r>
        <w:rPr>
          <w:rFonts w:ascii="微软雅黑" w:hAnsi="微软雅黑" w:eastAsia="微软雅黑"/>
          <w:b/>
          <w:i w:val="0"/>
          <w:color w:val="1A365D"/>
          <w:sz w:val="30"/>
        </w:rPr>
        <w:t>六、技术复盘与未来架构演进路线</w:t>
      </w:r>
    </w:p>
    <w:p>
      <w:pPr>
        <w:spacing w:before="0" w:after="120" w:line="300" w:lineRule="auto"/>
      </w:pPr>
      <w:r>
        <w:rPr>
          <w:rFonts w:ascii="微软雅黑" w:hAnsi="微软雅黑" w:eastAsia="微软雅黑"/>
          <w:b w:val="0"/>
          <w:i w:val="0"/>
          <w:color w:val="2D3748"/>
          <w:sz w:val="20"/>
        </w:rPr>
        <w:t>在探讨‘是否能直接拿 Champ 过来用’以及‘如何实现最佳适配效果’时，我们需要清醒地看到两代技术栈的代差。</w:t>
      </w:r>
    </w:p>
    <w:p>
      <w:pPr>
        <w:keepNext/>
        <w:spacing w:before="240" w:after="120"/>
      </w:pPr>
      <w:r>
        <w:rPr>
          <w:rFonts w:ascii="微软雅黑" w:hAnsi="微软雅黑" w:eastAsia="微软雅黑"/>
          <w:b/>
          <w:i w:val="0"/>
          <w:color w:val="2B6CB0"/>
          <w:sz w:val="25"/>
        </w:rPr>
        <w:t>6.1 Champ 原生设计与现代 DiT 的核心差异</w:t>
      </w:r>
    </w:p>
    <w:p>
      <w:pPr>
        <w:spacing w:before="0" w:after="120" w:line="300" w:lineRule="auto"/>
      </w:pPr>
      <w:r>
        <w:rPr>
          <w:rFonts w:ascii="微软雅黑" w:hAnsi="微软雅黑" w:eastAsia="微软雅黑"/>
          <w:b w:val="0"/>
          <w:i w:val="0"/>
          <w:color w:val="2D3748"/>
          <w:sz w:val="20"/>
        </w:rPr>
        <w:t>• Champ (ECCV 2024) 底层是 2022 年的 Stable Diffusion 1.5 (UNet)。其优势在于官方开源了完整的时序 Motion Module，适合直接跑连续跳舞视频；但致命缺陷是原生分辨率仅 512×512，面部易崩、手部塑料感强，且丢弃了自然语言文本理解（无法通过文字修改衣服颜色或背景）。</w:t>
        <w:br/>
        <w:t>• 本项目采用的 DeepGen 1.0 为 2024 年底的 SD3.5-Medium DiT，结合 Qwen2.5-VL 具备卓越的多模态自然语言理解能力，在 1024 高清人像与写实光影上对 SD 1.5 形成了代差级的降维打击。</w:t>
      </w:r>
    </w:p>
    <w:p>
      <w:pPr>
        <w:keepNext/>
        <w:spacing w:before="240" w:after="120"/>
      </w:pPr>
      <w:r>
        <w:rPr>
          <w:rFonts w:ascii="微软雅黑" w:hAnsi="微软雅黑" w:eastAsia="微软雅黑"/>
          <w:b/>
          <w:i w:val="0"/>
          <w:color w:val="2B6CB0"/>
          <w:sz w:val="25"/>
        </w:rPr>
        <w:t>6.2 下一阶段 3 大架构升级方向</w:t>
      </w:r>
    </w:p>
    <w:p>
      <w:pPr>
        <w:spacing w:before="0" w:after="120" w:line="300" w:lineRule="auto"/>
      </w:pPr>
      <w:r>
        <w:rPr>
          <w:rFonts w:ascii="微软雅黑" w:hAnsi="微软雅黑" w:eastAsia="微软雅黑"/>
          <w:b w:val="0"/>
          <w:i w:val="0"/>
          <w:color w:val="2D3748"/>
          <w:sz w:val="20"/>
        </w:rPr>
        <w:t>为了让自研模型全面吸收 Champ 的 3D 优势并超越其画质，建议在下一阶段落实以下架构升级：</w:t>
        <w:br/>
        <w:t>1. 多路独立引导头解耦 (Decoupled Guidance Encoders)：将当前 8 通道单路卷积拆分为 4 路轻量分支（NormalBranch、DepthBranch、SkeletonBranch、SemanticBranch），在经过两级下采样后通过通道注意力自适应融合，彻底消除稀疏骨架线与连续法线曲面的混叠干扰。</w:t>
        <w:br/>
        <w:t>2. 门控 AdaLN 调制 (Zero-Gated AdaLN Residual)：摒弃单纯的逐层加法相加，升级为带可学习门控标量 α 的 AdaLN 调制向量，自适应控制每个注意力头吸收多少几何特征，消灭 Step 30 出现的色彩噪点。</w:t>
        <w:br/>
        <w:t>3. 双轨参考特征交叉注意力 (Reference Cross-Attention)：在 DiT 中引入参考原图的 Latent 自注意力查阅机制，直接从源图中提取五官与服饰的微观反光纹理，彻底锁死面容保真度。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