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1A365D"/>
          <w:sz w:val="34"/>
        </w:rPr>
        <w:t>Qwen-Image-Edit (20B) 显存占用曲线与姿态图像编辑效果综合评测报告</w:t>
      </w:r>
    </w:p>
    <w:p>
      <w:pPr>
        <w:spacing w:before="0" w:after="240"/>
        <w:jc w:val="center"/>
      </w:pPr>
      <w:r>
        <w:rPr>
          <w:rFonts w:ascii="Segoe UI" w:hAnsi="Segoe UI" w:eastAsia="Segoe UI"/>
          <w:b w:val="0"/>
          <w:i/>
          <w:color w:val="64748B"/>
          <w:sz w:val="21"/>
        </w:rPr>
        <w:t>基于 NVIDIA RTX 6000D (84GB) 平台显存实测与 DeepGen 1.0 (5B) 横向对比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⚡ 实验核心研判与决策结论：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1. 单卡运行可行性：RTX 6000D (可见 83.6 GiB) 可平稳支撑 20B 原生 BF16 单图推理（约 60~63 GiB）与【离线缓存特征 + 开启梯度检查点】的外挂微调训练（约 52~57 GiB，安全余量 &gt;26 GiB）。</w:t>
              <w:br/>
              <w:t>2. 临界高危红线：若采用在线 VLM 编码训练，显存逼近 78 GiB 熔断警戒线；若关闭梯度检查点，1024 显存高达 97.5 GiB，必然触发 OOM 崩溃！</w:t>
              <w:br/>
              <w:t>3. 图像编辑效果对比：在低分辨率原图（面部仅 28px）下，Qwen-Edit 20B 展现出卓越的五官保真度与肢体朝向控制，明显优于 5B 小模型的面部脑补漂移；但因其超出了任务书【低于 6B】的硬性指标，定位应为【质量上限对照组 (Upper Bound)】与【教师模型】，而非第一交付主干。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1A365D"/>
          <w:sz w:val="26"/>
        </w:rPr>
        <w:t>一、 Qwen-Image-Edit 20B 显存占用曲线深度分析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针对官方开源的 20B 多模态编辑大模型（Qwen-Image-Edit-2511），我们结合 RTX 6000D 实测与基准数据，绘制了各场景下的多维度显存演化曲线：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1.1 各模式显存随分辨率 (512 ➔ 768 ➔ 1024) 增长特性曲线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下图对比了单图推理、双图推理、离线缓存训练、在线编码训练以及关闭检查点五种运行工况的显存增长趋势：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vram_resolu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1：Qwen-Image-Edit (20B) 全场景显存占用随分辨率增长特性曲线 (含 83.6G 上限与 78G 熔断线)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数据曲线规律：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【曲线特征剖析】：</w:t>
        <w:br/>
        <w:t>• 静态权重占绝对主导：20B MMDiT (38.1GB) + Qwen2.5-VL (15.5GB) 使底噪显存高达 53.8 GiB，因此从 512 升至 1024 时，推理显存仅从 59.0 GiB 微增至 63.0 GiB，分辨率弹性相对小模型较弱。</w:t>
        <w:br/>
        <w:t>• 梯度检查点是训练的“生命线”：关闭检查点时，激活值随分辨率平方级爆炸（红虚线），1024 下达到 97.5 GiB（直接爆卡）；开启后（绿实线）压缩了 65% 动态激活，稳定控制在 57.0 GiB，处于绝对安全区。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1.2 训练全生命周期动态显存时序演化曲线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下图呈现了 1024 分辨率单步反向更新过程中，从模型载入、条件提取、50 步流匹配去噪到 VAE 解码的时序显存波形：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vram_lifecycle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2：Qwen-Image-Edit (20B) 训练全生命周期动态显存时序演化曲线 (1024 分辨率)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核心优化机制：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• 离线特征缓存（Offline Feature Caching）立省 21.0 GiB：在训练前将数据集通过 Qwen2.5-VL 离线抽取并存盘，训练时主显存完全卸载 VLM，静态显存从 53.7 GiB 骤降至 38.3 GiB，使单卡微调成为可能。</w:t>
        <w:br/>
        <w:t>• 78 GiB 实验安全熔断线：在线编码模式在去噪阶段瞬时显存达到 78.0 GiB，极易因 CUDA 碎片（Memory Fragmentation）诱发系统级崩溃，因此线上微调严禁采用在线编码。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1.3 DeepGen 1.0 (5B) 与 Qwen-Edit (20B) 显存需求横向对比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vs_deepgen_scal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3：DeepGen 1.0 (5B) 与 Qwen-Image-Edit (20B) 关键阶段显存占用全景横向对比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1A365D"/>
          <w:sz w:val="26"/>
        </w:rPr>
        <w:t>二、 图像姿态与人物面容编辑效果对比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在同一张带有 3D Normal 姿态引导的真人样本（iPER 条纹衫站立原图）上，我们实测了 Qwen-Image-Edit (20B SOTA) 与当前交付主干 DeepGen 1.0 (2.47B DiT) 的真实生成表现：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84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Edit_与_DeepGen_编辑效果横向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8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4：单人姿态编辑效果横向对比全景 (原图 A ➔ 3D Normal ➔ Qwen-Edit 20B ➔ DeepGen 2.47B ➔ 真实目标 B)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多模态生成表现：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【全景姿态生成评价】：</w:t>
        <w:br/>
        <w:t>1. 姿态朝向与控制遵从度：Qwen-Edit 20B（第 3 列）严格遵从了 3D Normal 举起右手的空间朝向，手掌完全张开并自然向上方挥手，身体朝向保持正面；DeepGen 1.0（第 4 列）同样响应了举手指令，但偏向侧身握拳姿态。</w:t>
        <w:br/>
        <w:t>2. 服装与背景保真度：Qwen-Edit 20B 完美锁定了黑白横条纹长袖衫的条纹宽度与分布，深色裤子和地板视角未出现穿模或异色，展现出强大的单人一致性先验。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2.1 极限低分辨率下的人脸保真度（Face ID Fidelity）深度剖析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在输入原图仅为 256×256 分辨率、全身镜头下脸部仅占 28×40 像素（呈严重马赛克噪点）的极限挑战下，两款模型的五官还原能力呈现出代差级差异：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03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Edit_与_DeepGen_人脸保真度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0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5：28 像素极低分辨率原图下两款模型的人脸五官保真度微观放大对比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面部保真度结论：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• Qwen-Edit (20B)：在 28px 的马赛克脸部输入下，依靠 20B 超大参数量的跨模态语义先验，近乎完美地还原了目标男士的发型轮廓、黑框眼镜、真实脸型与微笑神态，五官特征与真实真值 B 高度吻合！</w:t>
        <w:br/>
        <w:t>• DeepGen (2.47B)：由于 2.47B 小模型容量相对受限，在面对 28px 输入时无法捕捉细粒度微观特征，自作主张脑补了一张标准亚洲微笑脸（发生了一定程度的 Face Drift 人脸漂移）。</w:t>
        <w:br/>
        <w:t>• 结论：大模型的深层参数优势主要体现在【极端模糊条件下的身份保持与语义纠错】；但在 1024 高清输入或接入 FaceID 模块后，5B 模型可大幅抹平该差距。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1A365D"/>
          <w:sz w:val="26"/>
        </w:rPr>
        <w:t>三、 课题任务书规范与双轨制落地定位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依据《人物图像姿态编辑任务书_v3》中关于【建议探索 6B 以下蒸馏/轻量模型】的明确要求，课题组确立了明确的“双轨制”研发布局：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技术路线轨别</w:t>
            </w:r>
          </w:p>
        </w:tc>
        <w:tc>
          <w:tcPr>
            <w:tcW w:type="dxa" w:w="3312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模型与显存配置</w:t>
            </w:r>
          </w:p>
        </w:tc>
        <w:tc>
          <w:tcPr>
            <w:tcW w:type="dxa" w:w="388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课题职能与交付定位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334155"/>
                <w:sz w:val="18"/>
              </w:rPr>
              <w:t>正式交付主干轨</w:t>
              <w:br/>
              <w:t>(主推路线)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8"/>
              </w:rPr>
              <w:t>DeepGen 1.0 (5B)</w:t>
              <w:br/>
              <w:t>• 单卡推理显存仅 4.8 GiB</w:t>
              <w:br/>
              <w:t>• 1024 训练仅 18.0 GiB</w:t>
              <w:br/>
              <w:t>• 单步仅耗时 0.35 秒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8"/>
              </w:rPr>
              <w:t>✔ 100% 符合任务书【主干低于 6B】硬性要求；</w:t>
              <w:br/>
              <w:t>✔ 资源消耗极低，显存余量充足 (&gt;75%)；</w:t>
              <w:br/>
              <w:t>✔ 作为课题第一验收与最终交付核心成果。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334155"/>
                <w:sz w:val="18"/>
              </w:rPr>
              <w:t>科学对比上限轨</w:t>
              <w:br/>
              <w:t>(辅助参考)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8"/>
              </w:rPr>
              <w:t>Qwen-Image-Edit (20B)</w:t>
              <w:br/>
              <w:t>• 单图推理约 63.0 GiB</w:t>
              <w:br/>
              <w:t>• 缓存微调约 57.0 GiB</w:t>
              <w:br/>
              <w:t>• 显存负荷高 (&gt;68%)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8"/>
              </w:rPr>
              <w:t>★ 作为【效果质量上限 (Upper Bound)】；</w:t>
              <w:br/>
              <w:t>★ 作为高质量【教师模型】生成微调配对数据；</w:t>
              <w:br/>
              <w:t>★ 为 5B 模型的蒸馏与人脸一致性优化提供目标参照。</w:t>
            </w:r>
          </w:p>
        </w:tc>
      </w:tr>
    </w:tbl>
    <w:p>
      <w:pPr>
        <w:spacing w:before="280"/>
        <w:jc w:val="right"/>
      </w:pPr>
      <w:r>
        <w:rPr>
          <w:rFonts w:ascii="微软雅黑" w:hAnsi="微软雅黑" w:eastAsia="微软雅黑"/>
          <w:b/>
          <w:i w:val="0"/>
          <w:color w:val="64748B"/>
          <w:sz w:val="18"/>
        </w:rPr>
        <w:t>人物图像姿态编辑课题组 · Qwen 显存与编辑效果综合评测 · 2026年9月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