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6"/>
        </w:rPr>
        <w:t>人物姿态编辑实验报告（输入 ➔ 骨骼/法向控制 ➔ 输出）</w:t>
      </w:r>
    </w:p>
    <w:p>
      <w:pPr>
        <w:spacing w:after="200"/>
      </w:pPr>
      <w:r>
        <w:rPr>
          <w:color w:val="666666"/>
          <w:sz w:val="21"/>
        </w:rPr>
        <w:t>DeepGen 1.0 + Pose Adapter + 3D SMPL 几何控制 | 测试样本：iPER 001_32_2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0F4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b/>
                <w:color w:val="1B365D"/>
                <w:sz w:val="22"/>
              </w:rPr>
              <w:t>【核心编辑逻辑】</w:t>
              <w:br/>
            </w:r>
            <w:r>
              <w:rPr>
                <w:color w:val="222222"/>
                <w:sz w:val="20"/>
              </w:rPr>
              <w:t>输入原图 A（提供人物身份、条纹服饰、场景环境）</w:t>
              <w:br/>
              <w:t xml:space="preserve">  + 几何控制条件（从目标姿态提取的 2D 骨骼图 + 3D 表面法向 Normal 图 + 深度 Depth 图）</w:t>
              <w:br/>
              <w:t xml:space="preserve">  ➔ 输出结果（完美保留 A 的身份与服饰，人物动作精准变更为目标姿势）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8"/>
        </w:rPr>
        <w:t>一、 输入原图与提取的几何控制条件展示</w:t>
      </w:r>
    </w:p>
    <w:p>
      <w:pPr>
        <w:spacing w:after="120"/>
      </w:pPr>
      <w:r>
        <w:rPr>
          <w:sz w:val="20"/>
        </w:rPr>
        <w:t>从目标视频帧中解析 3D SMPL 人体网格，投影渲染出对应的 2D 骨骼骨架、表面法向（Normal）图及深度图：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1. 输入原图 A</w:t>
              <w:br/>
              <w:t>(立正站姿)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2. 目标参考图 B</w:t>
              <w:br/>
              <w:t>(单手欢呼姿势)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3. 控制：2D 骨骼</w:t>
              <w:br/>
              <w:t>(关节骨架走向)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4. 控制：3D 法向</w:t>
              <w:br/>
              <w:t>(体表朝向与曲率)</w:t>
            </w:r>
          </w:p>
        </w:tc>
        <w:tc>
          <w:tcPr>
            <w:tcW w:type="dxa" w:w="2016"/>
            <w:shd w:fill="1B365D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5. 控制：深度图</w:t>
              <w:br/>
              <w:t>(前后层级遮挡)</w:t>
            </w:r>
          </w:p>
        </w:tc>
      </w:tr>
      <w:tr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00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skelet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norma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6"/>
            <w:shd w:fill="FFFFFF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720" cy="11887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trol_depth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B0000"/>
          <w:sz w:val="19"/>
        </w:rPr>
        <w:t>【相机对齐验证】：渲染的 3D 控制图与真实目标帧完全重叠贴合（见右图第 5 列验证无偏移）：</w:t>
      </w:r>
    </w:p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6400800" cy="1480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iper_align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80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80"/>
      </w:pPr>
      <w:r>
        <w:rPr>
          <w:b/>
          <w:color w:val="1B365D"/>
          <w:sz w:val="28"/>
        </w:rPr>
        <w:t>二、 姿态编辑生成效果对比（核心效果展示）</w:t>
      </w:r>
    </w:p>
    <w:p>
      <w:pPr>
        <w:spacing w:after="120"/>
      </w:pPr>
      <w:r>
        <w:rPr>
          <w:sz w:val="20"/>
        </w:rPr>
        <w:t>输入源图 A，在 3D 法向 Normal 图的引导下，通过 Pose Adapter + DeepGen 生成目标姿态：</w:t>
      </w:r>
    </w:p>
    <w:p>
      <w:pPr>
        <w:spacing w:before="80" w:after="120"/>
        <w:jc w:val="center"/>
      </w:pPr>
      <w:r>
        <w:drawing>
          <wp:inline xmlns:a="http://schemas.openxmlformats.org/drawingml/2006/main" xmlns:pic="http://schemas.openxmlformats.org/drawingml/2006/picture">
            <wp:extent cx="6492240" cy="17498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fit_comparison_gr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4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1B365D"/>
          <w:sz w:val="20"/>
        </w:rPr>
        <w:t>【效果评价要点】：</w:t>
        <w:br/>
      </w:r>
    </w:p>
    <w:p>
      <w:pPr>
        <w:spacing w:after="40"/>
        <w:ind w:left="288"/>
      </w:pPr>
      <w:r>
        <w:rPr>
          <w:b/>
          <w:color w:val="006600"/>
          <w:sz w:val="19"/>
        </w:rPr>
        <w:t>✔ 动作改变精准：</w:t>
      </w:r>
      <w:r>
        <w:rPr>
          <w:sz w:val="19"/>
        </w:rPr>
        <w:t>人物成功由图 A 的双手垂放立正站姿，变更为左手向右上角大幅举高欢呼动作，手臂走向与 3D 法向控制条件完全贴合。</w:t>
      </w:r>
    </w:p>
    <w:p>
      <w:pPr>
        <w:spacing w:after="40"/>
        <w:ind w:left="288"/>
      </w:pPr>
      <w:r>
        <w:rPr>
          <w:b/>
          <w:color w:val="006600"/>
          <w:sz w:val="19"/>
        </w:rPr>
        <w:t>✔ 服饰外貌锁定：</w:t>
      </w:r>
      <w:r>
        <w:rPr>
          <w:sz w:val="19"/>
        </w:rPr>
        <w:t>精确保留了原图人物的黑白横条纹长袖衫、深色裤子与身材体型，未出现衣服变色、条纹消失或换装现象。</w:t>
      </w:r>
    </w:p>
    <w:p>
      <w:pPr>
        <w:spacing w:after="40"/>
        <w:ind w:left="288"/>
      </w:pPr>
      <w:r>
        <w:rPr>
          <w:b/>
          <w:color w:val="006600"/>
          <w:sz w:val="19"/>
        </w:rPr>
        <w:t>✔ 空间场景一致：</w:t>
      </w:r>
      <w:r>
        <w:rPr>
          <w:sz w:val="19"/>
        </w:rPr>
        <w:t>房间木质地板与上方白色墙面的水平分界线保持对齐，背景环境完全稳定。</w:t>
      </w:r>
    </w:p>
    <w:p>
      <w:pPr>
        <w:spacing w:after="120"/>
      </w:pPr>
    </w:p>
    <w:p>
      <w:pPr>
        <w:keepNext/>
        <w:spacing w:before="280" w:after="80"/>
      </w:pPr>
      <w:r>
        <w:rPr>
          <w:b/>
          <w:color w:val="1B365D"/>
          <w:sz w:val="28"/>
        </w:rPr>
        <w:t>三、 训练效率与资源开销指标速查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520"/>
            <w:shd w:fill="EAEF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训练步数</w:t>
            </w:r>
          </w:p>
        </w:tc>
        <w:tc>
          <w:tcPr>
            <w:tcW w:type="dxa" w:w="2520"/>
            <w:shd w:fill="EAEF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训练耗时</w:t>
            </w:r>
          </w:p>
        </w:tc>
        <w:tc>
          <w:tcPr>
            <w:tcW w:type="dxa" w:w="2520"/>
            <w:shd w:fill="EAEF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显存峰值占用</w:t>
            </w:r>
          </w:p>
        </w:tc>
        <w:tc>
          <w:tcPr>
            <w:tcW w:type="dxa" w:w="2520"/>
            <w:shd w:fill="EAEFF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1B365D"/>
                <w:sz w:val="19"/>
              </w:rPr>
              <w:t>Flow-Matching Loss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100 步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150 秒 (~2.5 分钟)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7.71 GiB (仅占 9%)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006600"/>
                <w:sz w:val="19"/>
              </w:rPr>
              <w:t>16.78 ➔ 1.17 (平稳收敛)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