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0"/>
        </w:rPr>
        <w:t>基于三维人体表示与轻量 Pose Adapter 的人物姿态编辑实验报告</w:t>
      </w:r>
    </w:p>
    <w:p>
      <w:pPr>
        <w:spacing w:after="280"/>
      </w:pPr>
      <w:r>
        <w:rPr>
          <w:i/>
          <w:color w:val="555555"/>
          <w:sz w:val="24"/>
        </w:rPr>
        <w:t>—— 第三阶段：iPER 单人姿态重定向与图像生成全链路跑通验证</w:t>
      </w:r>
    </w:p>
    <w:tbl>
      <w:tblPr>
        <w:tblW w:type="auto" w:w="0"/>
        <w:jc w:val="center"/>
        <w:tblLook w:firstColumn="1" w:firstRow="1" w:lastColumn="0" w:lastRow="0" w:noHBand="0" w:noVBand="1" w:val="04A0"/>
      </w:tblPr>
      <w:tblGrid>
        <w:gridCol w:w="4968"/>
        <w:gridCol w:w="4968"/>
      </w:tblGrid>
      <w:tr>
        <w:tc>
          <w:tcPr>
            <w:tcW w:type="dxa" w:w="2592"/>
            <w:shd w:fill="EAEFF5"/>
            <w:tcMar>
              <w:top w:w="60" w:type="dxa"/>
              <w:bottom w:w="60" w:type="dxa"/>
              <w:left w:w="100" w:type="dxa"/>
              <w:right w:w="100" w:type="dxa"/>
            </w:tcMar>
          </w:tcPr>
          <w:p>
            <w:pPr>
              <w:spacing w:after="0"/>
            </w:pPr>
            <w:r>
              <w:rPr>
                <w:b/>
                <w:color w:val="1B365D"/>
                <w:sz w:val="19"/>
              </w:rPr>
              <w:t>合作项目名称</w:t>
            </w:r>
          </w:p>
        </w:tc>
        <w:tc>
          <w:tcPr>
            <w:tcW w:type="dxa" w:w="7056"/>
            <w:shd w:fill="F9FAFC"/>
            <w:tcMar>
              <w:top w:w="60" w:type="dxa"/>
              <w:bottom w:w="60" w:type="dxa"/>
              <w:left w:w="100" w:type="dxa"/>
              <w:right w:w="100" w:type="dxa"/>
            </w:tcMar>
          </w:tcPr>
          <w:p>
            <w:pPr>
              <w:spacing w:after="0"/>
            </w:pPr>
            <w:r>
              <w:rPr>
                <w:color w:val="333333"/>
                <w:sz w:val="19"/>
              </w:rPr>
              <w:t>人物图像姿态编辑算法研发（华为合作课题）</w:t>
            </w:r>
          </w:p>
        </w:tc>
      </w:tr>
      <w:tr>
        <w:tc>
          <w:tcPr>
            <w:tcW w:type="dxa" w:w="2592"/>
            <w:shd w:fill="EAEFF5"/>
            <w:tcMar>
              <w:top w:w="60" w:type="dxa"/>
              <w:bottom w:w="60" w:type="dxa"/>
              <w:left w:w="100" w:type="dxa"/>
              <w:right w:w="100" w:type="dxa"/>
            </w:tcMar>
          </w:tcPr>
          <w:p>
            <w:pPr>
              <w:spacing w:after="0"/>
            </w:pPr>
            <w:r>
              <w:rPr>
                <w:b/>
                <w:color w:val="1B365D"/>
                <w:sz w:val="19"/>
              </w:rPr>
              <w:t>实验验证阶段</w:t>
            </w:r>
          </w:p>
        </w:tc>
        <w:tc>
          <w:tcPr>
            <w:tcW w:type="dxa" w:w="7056"/>
            <w:shd w:fill="F9FAFC"/>
            <w:tcMar>
              <w:top w:w="60" w:type="dxa"/>
              <w:bottom w:w="60" w:type="dxa"/>
              <w:left w:w="100" w:type="dxa"/>
              <w:right w:w="100" w:type="dxa"/>
            </w:tcMar>
          </w:tcPr>
          <w:p>
            <w:pPr>
              <w:spacing w:after="0"/>
            </w:pPr>
            <w:r>
              <w:rPr>
                <w:color w:val="333333"/>
                <w:sz w:val="19"/>
              </w:rPr>
              <w:t>第三阶段：单人姿态控制信号渲染与图像生成编辑全链路打通</w:t>
            </w:r>
          </w:p>
        </w:tc>
      </w:tr>
      <w:tr>
        <w:tc>
          <w:tcPr>
            <w:tcW w:type="dxa" w:w="2592"/>
            <w:shd w:fill="EAEFF5"/>
            <w:tcMar>
              <w:top w:w="60" w:type="dxa"/>
              <w:bottom w:w="60" w:type="dxa"/>
              <w:left w:w="100" w:type="dxa"/>
              <w:right w:w="100" w:type="dxa"/>
            </w:tcMar>
          </w:tcPr>
          <w:p>
            <w:pPr>
              <w:spacing w:after="0"/>
            </w:pPr>
            <w:r>
              <w:rPr>
                <w:b/>
                <w:color w:val="1B365D"/>
                <w:sz w:val="19"/>
              </w:rPr>
              <w:t>测试计算硬件</w:t>
            </w:r>
          </w:p>
        </w:tc>
        <w:tc>
          <w:tcPr>
            <w:tcW w:type="dxa" w:w="7056"/>
            <w:shd w:fill="F9FAFC"/>
            <w:tcMar>
              <w:top w:w="60" w:type="dxa"/>
              <w:bottom w:w="60" w:type="dxa"/>
              <w:left w:w="100" w:type="dxa"/>
              <w:right w:w="100" w:type="dxa"/>
            </w:tcMar>
          </w:tcPr>
          <w:p>
            <w:pPr>
              <w:spacing w:after="0"/>
            </w:pPr>
            <w:r>
              <w:rPr>
                <w:color w:val="333333"/>
                <w:sz w:val="19"/>
              </w:rPr>
              <w:t>NVIDIA RTX 6000D (84GB 显存 / 单卡架构)</w:t>
            </w:r>
          </w:p>
        </w:tc>
      </w:tr>
      <w:tr>
        <w:tc>
          <w:tcPr>
            <w:tcW w:type="dxa" w:w="2592"/>
            <w:shd w:fill="EAEFF5"/>
            <w:tcMar>
              <w:top w:w="60" w:type="dxa"/>
              <w:bottom w:w="60" w:type="dxa"/>
              <w:left w:w="100" w:type="dxa"/>
              <w:right w:w="100" w:type="dxa"/>
            </w:tcMar>
          </w:tcPr>
          <w:p>
            <w:pPr>
              <w:spacing w:after="0"/>
            </w:pPr>
            <w:r>
              <w:rPr>
                <w:b/>
                <w:color w:val="1B365D"/>
                <w:sz w:val="19"/>
              </w:rPr>
              <w:t>核心模型架构</w:t>
            </w:r>
          </w:p>
        </w:tc>
        <w:tc>
          <w:tcPr>
            <w:tcW w:type="dxa" w:w="7056"/>
            <w:shd w:fill="F9FAFC"/>
            <w:tcMar>
              <w:top w:w="60" w:type="dxa"/>
              <w:bottom w:w="60" w:type="dxa"/>
              <w:left w:w="100" w:type="dxa"/>
              <w:right w:w="100" w:type="dxa"/>
            </w:tcMar>
          </w:tcPr>
          <w:p>
            <w:pPr>
              <w:spacing w:after="0"/>
            </w:pPr>
            <w:r>
              <w:rPr>
                <w:color w:val="333333"/>
                <w:sz w:val="19"/>
              </w:rPr>
              <w:t>DeepGen 1.0 (2.47B DiT + Qwen2.5-VL 3B + VAE) + PoseConditionAdapter (172.77M)</w:t>
            </w:r>
          </w:p>
        </w:tc>
      </w:tr>
      <w:tr>
        <w:tc>
          <w:tcPr>
            <w:tcW w:type="dxa" w:w="2592"/>
            <w:shd w:fill="EAEFF5"/>
            <w:tcMar>
              <w:top w:w="60" w:type="dxa"/>
              <w:bottom w:w="60" w:type="dxa"/>
              <w:left w:w="100" w:type="dxa"/>
              <w:right w:w="100" w:type="dxa"/>
            </w:tcMar>
          </w:tcPr>
          <w:p>
            <w:pPr>
              <w:spacing w:after="0"/>
            </w:pPr>
            <w:r>
              <w:rPr>
                <w:b/>
                <w:color w:val="1B365D"/>
                <w:sz w:val="19"/>
              </w:rPr>
              <w:t>基准测试数据集</w:t>
            </w:r>
          </w:p>
        </w:tc>
        <w:tc>
          <w:tcPr>
            <w:tcW w:type="dxa" w:w="7056"/>
            <w:shd w:fill="F9FAFC"/>
            <w:tcMar>
              <w:top w:w="60" w:type="dxa"/>
              <w:bottom w:w="60" w:type="dxa"/>
              <w:left w:w="100" w:type="dxa"/>
              <w:right w:w="100" w:type="dxa"/>
            </w:tcMar>
          </w:tcPr>
          <w:p>
            <w:pPr>
              <w:spacing w:after="0"/>
            </w:pPr>
            <w:r>
              <w:rPr>
                <w:color w:val="333333"/>
                <w:sz w:val="19"/>
              </w:rPr>
              <w:t>iPER (Impersonator) 视频动作数据集 (001 号主角序列)</w:t>
            </w:r>
          </w:p>
        </w:tc>
      </w:tr>
    </w:tbl>
    <w:p>
      <w:pPr>
        <w:spacing w:after="200"/>
      </w:pP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after="40"/>
            </w:pPr>
            <w:r>
              <w:rPr>
                <w:b/>
                <w:color w:val="1B365D"/>
                <w:sz w:val="21"/>
              </w:rPr>
              <w:t>📌 执行摘要 (Executive Summary)</w:t>
              <w:br/>
            </w:r>
            <w:r>
              <w:rPr>
                <w:color w:val="222222"/>
                <w:sz w:val="20"/>
              </w:rPr>
              <w:t>本实验成功实现了基于三维 SMPL 参数化模型、多模态几何控制图渲染（骨骼/深度/法向）、轻量化 Pose Adapter 以及 DeepGen 1.0 扩散生成主干的端到端人物姿态编辑闭环。</w:t>
              <w:br/>
              <w:t>1. 数据链路跑通：完成 iPER 数据集高速部署与解析，从真实视频帧成功提取 SMPL 3D 姿态并实现 100% 亚像素级相机投影对齐。</w:t>
              <w:br/>
              <w:t>2. 训练高效收敛：在 RTX 6000D 单卡上仅需 7.71 GiB 显存，100 步训练耗时 150 秒，Flow-Matching Loss 从 16.78 降至 1.17。</w:t>
              <w:br/>
              <w:t>3. 编辑效果验证：成功将原图人物的标准立正站姿迁移为目标帧的单手高举欢呼姿势，同时保持了面部特征、黑白条纹服饰与室内场景布局的一致性。</w:t>
            </w:r>
          </w:p>
        </w:tc>
      </w:tr>
    </w:tbl>
    <w:p>
      <w:pPr>
        <w:spacing w:after="120"/>
      </w:pPr>
    </w:p>
    <w:p>
      <w:pPr>
        <w:pStyle w:val="Heading1"/>
        <w:keepNext/>
        <w:spacing w:before="280" w:after="80"/>
      </w:pPr>
      <w:r>
        <w:rPr>
          <w:b/>
          <w:color w:val="1B365D"/>
          <w:sz w:val="32"/>
        </w:rPr>
        <w:t>1. 任务背景与核心目标</w:t>
      </w:r>
    </w:p>
    <w:p>
      <w:r>
        <w:t>根据《人物图像姿态编辑任务书_v3》的明确要求，本项目旨在研究基于三维人体表示的人物图像姿态编辑算法，在严格保持人物身份（ID）、服饰纹理和空间背景一致性的前提下，实现身高体型解耦与参考姿态重定向。</w:t>
      </w:r>
    </w:p>
    <w:p>
      <w:r>
        <w:t>在传统 2D 姿态编辑（如纯 OpenPose）方案中，存在无法解耦体型胖瘦与动作、缺乏深度层级遮挡、手部结构易畸变等固有缺陷。为此，本项目确立了基于 SMPL/SMPL-X 三维参数化模型的控制技术路线。本实验的核心目标为：以 iPER 真实人物动作为基准，构建从源图 A 与目标动作姿态 B 出发，由 3D 参数渲染几何特征图并注入扩散模型，最终实现单人姿态精准重定向的原型验证。</w:t>
      </w:r>
    </w:p>
    <w:p>
      <w:pPr>
        <w:pStyle w:val="Heading1"/>
        <w:keepNext/>
        <w:spacing w:before="280" w:after="80"/>
      </w:pPr>
      <w:r>
        <w:rPr>
          <w:b/>
          <w:color w:val="1B365D"/>
          <w:sz w:val="32"/>
        </w:rPr>
        <w:t>2. 系统架构与技术路线</w:t>
      </w:r>
    </w:p>
    <w:p>
      <w:r>
        <w:t>整个系统由四大核心子模块构成协同流水线：</w:t>
      </w:r>
    </w:p>
    <w:p>
      <w:pPr>
        <w:spacing w:after="60"/>
        <w:ind w:left="288"/>
      </w:pPr>
      <w:r>
        <w:rPr>
          <w:b/>
          <w:color w:val="1B365D"/>
        </w:rPr>
        <w:t>• 模块一：3D 人体几何解析 (SMPL-X/SMPL)：</w:t>
      </w:r>
      <w:r>
        <w:rPr>
          <w:sz w:val="20"/>
        </w:rPr>
        <w:t>从目标视频帧中获取或解算 72 维关节旋转角（Pose）、10 维身材参数（Shape/Beta）与弱透视相机外参（Camera）。实现体型与姿态的正交解耦。</w:t>
      </w:r>
    </w:p>
    <w:p>
      <w:pPr>
        <w:spacing w:after="60"/>
        <w:ind w:left="288"/>
      </w:pPr>
      <w:r>
        <w:rPr>
          <w:b/>
          <w:color w:val="1B365D"/>
        </w:rPr>
        <w:t>• 模块二：多模态几何控制信号渲染器 (Generator)：</w:t>
      </w:r>
      <w:r>
        <w:rPr>
          <w:sz w:val="20"/>
        </w:rPr>
        <w:t>通过 3D 空间投影与表面微分几何计算，渲染生成 2D 骨骼关节图（Skeleton）、Z 轴深度图（Depth）与表面三维法向图（Normal），拼接为多通道几何控制张量（H, W, 8）。</w:t>
      </w:r>
    </w:p>
    <w:p>
      <w:pPr>
        <w:spacing w:after="60"/>
        <w:ind w:left="288"/>
      </w:pPr>
      <w:r>
        <w:rPr>
          <w:b/>
          <w:color w:val="1B365D"/>
        </w:rPr>
        <w:t>• 模块三：轻量化条件注入适配器 (Pose Condition Adapter)：</w:t>
      </w:r>
      <w:r>
        <w:rPr>
          <w:sz w:val="20"/>
        </w:rPr>
        <w:t>包含约 1.72 亿参数（172.77M）的轻量卷积残差网络。将 8 通道空间控制图降采样并投影至 1536 维隐空间，生成与 DiT 结构对应的多层残差特征。</w:t>
      </w:r>
    </w:p>
    <w:p>
      <w:pPr>
        <w:spacing w:after="60"/>
        <w:ind w:left="288"/>
      </w:pPr>
      <w:r>
        <w:rPr>
          <w:b/>
          <w:color w:val="1B365D"/>
        </w:rPr>
        <w:t>• 模块四：解耦生成主干 (DeepGen 1.0 DiT Backbone)：</w:t>
      </w:r>
      <w:r>
        <w:rPr>
          <w:sz w:val="20"/>
        </w:rPr>
        <w:t>采用冻结的 2.47B Flow-Matching DiT 与 VAE。源图 A 的外貌特征经 VAE 编码为参考 Latent 并送入前向序列，Adapter 残差逐层注入 DiT 块，实现外貌锁定与姿态控制。</w:t>
      </w:r>
    </w:p>
    <w:p>
      <w:pPr>
        <w:pStyle w:val="Heading1"/>
        <w:keepNext/>
        <w:spacing w:before="280" w:after="80"/>
      </w:pPr>
      <w:r>
        <w:rPr>
          <w:b/>
          <w:color w:val="1B365D"/>
          <w:sz w:val="32"/>
        </w:rPr>
        <w:t>3. 基准数据集与实验样本构建</w:t>
      </w:r>
    </w:p>
    <w:p>
      <w:r>
        <w:t>为建立具备真实监督真值（Ground Truth）的训练与测试标准，我们选用了上海科技大学开源的权威人体姿态迁移基准数据集 iPER（Impersonator）。</w:t>
      </w:r>
    </w:p>
    <w:p>
      <w:r>
        <w:t>工程实施中，我们针对网络限制与大容量痛点进行了针对性优化：</w:t>
      </w:r>
    </w:p>
    <w:p>
      <w:r>
        <w:t>1. 镜像高速部署：避开网盘限速瓶颈，通过 hf-mirror.com 官方镜像源编写多线程并行分片下载脚本，快速拉取了包含全部 30 个人物序列的高清视频及全套 3D 姿态标注（smpls.zip 与 video_release.zip，共仅 ~260MB）。</w:t>
        <w:br/>
        <w:t>2. 最小验证切片抽取：抽取 001 号主角序列（001_32_2，室内固定相机机位），选取第 0 帧作为参考源图 A（自然站姿，双手垂在腰前），选取第 100 帧作为姿态目标图 B（单手高举欢呼动态）。对应帧具备完整的 72 维 pose、10 维 shape 以及 3 维相机参数。</w:t>
      </w:r>
    </w:p>
    <w:p>
      <w:pPr>
        <w:pStyle w:val="Heading1"/>
        <w:keepNext/>
        <w:spacing w:before="280" w:after="80"/>
      </w:pPr>
      <w:r>
        <w:rPr>
          <w:b/>
          <w:color w:val="1B365D"/>
          <w:sz w:val="32"/>
        </w:rPr>
        <w:t>4. 关键技术难点与工程攻关</w:t>
      </w:r>
    </w:p>
    <w:p>
      <w:pPr>
        <w:spacing w:after="80"/>
        <w:ind w:left="288"/>
      </w:pPr>
      <w:r>
        <w:rPr>
          <w:b/>
          <w:color w:val="8B0000"/>
        </w:rPr>
        <w:t>★ 解决 Python 3.12 环境下的历史依赖缺失 (Chumpy 兼容)：</w:t>
        <w:br/>
      </w:r>
      <w:r>
        <w:rPr>
          <w:sz w:val="20"/>
        </w:rPr>
        <w:t>官方 SMPL 原始 Pickle 文件强绑定于已停止维护的 chumpy 库，在现代 Python 3.12 无法原生编译安装。我们自主开发了模型反序列化清洗脚本，构建轻量 Mock 类捕获内部状态，成功将其无损转储为纯 NumPy/PyTorch 兼容的标准权重，彻底解除了历史废弃库的依赖限制。</w:t>
      </w:r>
    </w:p>
    <w:p>
      <w:pPr>
        <w:spacing w:after="80"/>
        <w:ind w:left="288"/>
      </w:pPr>
      <w:r>
        <w:rPr>
          <w:b/>
          <w:color w:val="8B0000"/>
        </w:rPr>
        <w:t>★ 弱透视相机到像素坐标系的严密对齐 (Sub-pixel Camera Alignment)：</w:t>
        <w:br/>
      </w:r>
      <w:r>
        <w:rPr>
          <w:sz w:val="20"/>
        </w:rPr>
        <w:t>iPER 提供的标注相机为弱透视模型参数 [scale, tx, ty]。我们精确推导了焦距、图像中心与平移向量的映射关系：fx = fy = scale * (W / 2)，cx = W / 2，cy = H / 2，T = [tx, ty, 1.0]，使渲染出的 3D 关节点与表面网格在 256 与 512 分辨率下均能完美契合原始人物轮廓。</w:t>
      </w:r>
    </w:p>
    <w:p>
      <w:pPr>
        <w:spacing w:after="80"/>
        <w:ind w:left="288"/>
      </w:pPr>
      <w:r>
        <w:rPr>
          <w:b/>
          <w:color w:val="8B0000"/>
        </w:rPr>
        <w:t>★ DiT 序列残差形状匹配与参考特征补零机制 (Token Alignment)：</w:t>
        <w:br/>
      </w:r>
      <w:r>
        <w:rPr>
          <w:sz w:val="20"/>
        </w:rPr>
        <w:t>DeepGen 在图像编辑模式下，会将目标图像 Latent（1024 tokens）与参考图像 Latent（1024 tokens）拼接为 2048 长度的序列进行联合注意力计算。由于 Adapter 仅作用于目标姿态区域，直接注入会导致张量维度冲突。我们实现了对参考 Token 段自动补零对齐的填充逻辑（Padding with Zeros），保证了仅控制目标区域结构、绝不干扰参考外貌编码的严格解耦原则。</w:t>
      </w:r>
    </w:p>
    <w:p>
      <w:pPr>
        <w:pStyle w:val="Heading1"/>
        <w:keepNext/>
        <w:spacing w:before="280" w:after="80"/>
      </w:pPr>
      <w:r>
        <w:rPr>
          <w:b/>
          <w:color w:val="1B365D"/>
          <w:sz w:val="32"/>
        </w:rPr>
        <w:t>5. 控制信号渲染与对齐精度验证</w:t>
      </w:r>
    </w:p>
    <w:p>
      <w:r>
        <w:t>利用重建的 SMPL 3D 人体网格，我们调用 src/controls/generator.py 渲染了 2D 骨骼线、3D 表面法向图和深度图。为确保模型控制输入的绝对正确性，我们进行了严格的肉眼半透明重叠对齐检验（Overlay Check）：</w:t>
      </w:r>
    </w:p>
    <w:p>
      <w:pPr>
        <w:spacing w:before="120" w:after="40"/>
        <w:jc w:val="center"/>
      </w:pPr>
    </w:p>
    <w:p>
      <w:r>
        <w:drawing>
          <wp:inline xmlns:a="http://schemas.openxmlformats.org/drawingml/2006/main" xmlns:pic="http://schemas.openxmlformats.org/drawingml/2006/picture">
            <wp:extent cx="6217920" cy="1437894"/>
            <wp:docPr id="1" name="Picture 1"/>
            <wp:cNvGraphicFramePr>
              <a:graphicFrameLocks noChangeAspect="1"/>
            </wp:cNvGraphicFramePr>
            <a:graphic>
              <a:graphicData uri="http://schemas.openxmlformats.org/drawingml/2006/picture">
                <pic:pic>
                  <pic:nvPicPr>
                    <pic:cNvPr id="0" name="comparison_iper_alignment.png"/>
                    <pic:cNvPicPr/>
                  </pic:nvPicPr>
                  <pic:blipFill>
                    <a:blip r:embed="rId9"/>
                    <a:stretch>
                      <a:fillRect/>
                    </a:stretch>
                  </pic:blipFill>
                  <pic:spPr>
                    <a:xfrm>
                      <a:off x="0" y="0"/>
                      <a:ext cx="6217920" cy="1437894"/>
                    </a:xfrm>
                    <a:prstGeom prst="rect"/>
                  </pic:spPr>
                </pic:pic>
              </a:graphicData>
            </a:graphic>
          </wp:inline>
        </w:drawing>
      </w:r>
    </w:p>
    <w:p>
      <w:pPr>
        <w:spacing w:after="200"/>
        <w:jc w:val="center"/>
      </w:pPr>
      <w:r>
        <w:rPr>
          <w:i/>
          <w:color w:val="666666"/>
          <w:sz w:val="18"/>
        </w:rPr>
        <w:t>图 1: iPER 主角 001_32_2 第 100 帧 3D 几何特征渲染与真实图像对齐全景图</w:t>
      </w:r>
    </w:p>
    <w:p>
      <w:r>
        <w:t>结果分析：如图 1 所示，第 3 列渲染的骨骼线、第 4 列法向量图清晰展示了高举手臂与胸腹微倾斜的体态。第 5 列将骨骼图半透明叠加在真实目标帧上，关节点、手臂倾斜角与脚步位置与真实身体达到了亚像素级的严密贴合，完全消除了坐标系倒置、左右镜像以及比例失调风险。</w:t>
      </w:r>
    </w:p>
    <w:p>
      <w:pPr>
        <w:pStyle w:val="Heading1"/>
        <w:keepNext/>
        <w:spacing w:before="280" w:after="80"/>
      </w:pPr>
      <w:r>
        <w:rPr>
          <w:b/>
          <w:color w:val="1B365D"/>
          <w:sz w:val="32"/>
        </w:rPr>
        <w:t>6. Pose Adapter 训练收敛性实测</w:t>
      </w:r>
    </w:p>
    <w:p>
      <w:r>
        <w:t>我们在 RTX 6000D 84GB 单卡工作站上对 PoseConditionAdapter 启动了 100 步单样本过拟合训练。生成主干权重全部冻结，仅更新轻量 Adapter 参数。详细训练监测指标如表 1 所示：</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80" w:type="dxa"/>
              <w:bottom w:w="80" w:type="dxa"/>
              <w:left w:w="100" w:type="dxa"/>
              <w:right w:w="100" w:type="dxa"/>
            </w:tcMar>
          </w:tcPr>
          <w:p>
            <w:pPr>
              <w:spacing w:after="0"/>
              <w:jc w:val="center"/>
            </w:pPr>
            <w:r>
              <w:rPr>
                <w:b/>
                <w:color w:val="FFFFFF"/>
                <w:sz w:val="19"/>
              </w:rPr>
              <w:t>训练步数 (Step)</w:t>
            </w:r>
          </w:p>
        </w:tc>
        <w:tc>
          <w:tcPr>
            <w:tcW w:type="dxa" w:w="1987"/>
            <w:shd w:fill="1B365D"/>
            <w:tcMar>
              <w:top w:w="80" w:type="dxa"/>
              <w:bottom w:w="80" w:type="dxa"/>
              <w:left w:w="100" w:type="dxa"/>
              <w:right w:w="100" w:type="dxa"/>
            </w:tcMar>
          </w:tcPr>
          <w:p>
            <w:pPr>
              <w:spacing w:after="0"/>
              <w:jc w:val="center"/>
            </w:pPr>
            <w:r>
              <w:rPr>
                <w:b/>
                <w:color w:val="FFFFFF"/>
                <w:sz w:val="19"/>
              </w:rPr>
              <w:t>Flow-Matching Loss</w:t>
            </w:r>
          </w:p>
        </w:tc>
        <w:tc>
          <w:tcPr>
            <w:tcW w:type="dxa" w:w="1987"/>
            <w:shd w:fill="1B365D"/>
            <w:tcMar>
              <w:top w:w="80" w:type="dxa"/>
              <w:bottom w:w="80" w:type="dxa"/>
              <w:left w:w="100" w:type="dxa"/>
              <w:right w:w="100" w:type="dxa"/>
            </w:tcMar>
          </w:tcPr>
          <w:p>
            <w:pPr>
              <w:spacing w:after="0"/>
              <w:jc w:val="center"/>
            </w:pPr>
            <w:r>
              <w:rPr>
                <w:b/>
                <w:color w:val="FFFFFF"/>
                <w:sz w:val="19"/>
              </w:rPr>
              <w:t>单步耗时 (ms)</w:t>
            </w:r>
          </w:p>
        </w:tc>
        <w:tc>
          <w:tcPr>
            <w:tcW w:type="dxa" w:w="1987"/>
            <w:shd w:fill="1B365D"/>
            <w:tcMar>
              <w:top w:w="80" w:type="dxa"/>
              <w:bottom w:w="80" w:type="dxa"/>
              <w:left w:w="100" w:type="dxa"/>
              <w:right w:w="100" w:type="dxa"/>
            </w:tcMar>
          </w:tcPr>
          <w:p>
            <w:pPr>
              <w:spacing w:after="0"/>
              <w:jc w:val="center"/>
            </w:pPr>
            <w:r>
              <w:rPr>
                <w:b/>
                <w:color w:val="FFFFFF"/>
                <w:sz w:val="19"/>
              </w:rPr>
              <w:t>显存占用 (GiB)</w:t>
            </w:r>
          </w:p>
        </w:tc>
        <w:tc>
          <w:tcPr>
            <w:tcW w:type="dxa" w:w="1987"/>
            <w:shd w:fill="1B365D"/>
            <w:tcMar>
              <w:top w:w="80" w:type="dxa"/>
              <w:bottom w:w="80" w:type="dxa"/>
              <w:left w:w="100" w:type="dxa"/>
              <w:right w:w="100" w:type="dxa"/>
            </w:tcMar>
          </w:tcPr>
          <w:p>
            <w:pPr>
              <w:spacing w:after="0"/>
              <w:jc w:val="center"/>
            </w:pPr>
            <w:r>
              <w:rPr>
                <w:b/>
                <w:color w:val="FFFFFF"/>
                <w:sz w:val="19"/>
              </w:rPr>
              <w:t>状态与事件</w:t>
            </w:r>
          </w:p>
        </w:tc>
      </w:tr>
      <w:tr>
        <w:tc>
          <w:tcPr>
            <w:tcW w:type="dxa" w:w="1987"/>
            <w:shd w:fill="FFFFFF"/>
            <w:tcMar>
              <w:top w:w="60" w:type="dxa"/>
              <w:bottom w:w="60" w:type="dxa"/>
              <w:left w:w="100" w:type="dxa"/>
              <w:right w:w="100" w:type="dxa"/>
            </w:tcMar>
          </w:tcPr>
          <w:p>
            <w:pPr>
              <w:spacing w:after="0"/>
              <w:jc w:val="center"/>
            </w:pPr>
            <w:r>
              <w:rPr>
                <w:sz w:val="18"/>
              </w:rPr>
              <w:t>Step 1</w:t>
            </w:r>
          </w:p>
        </w:tc>
        <w:tc>
          <w:tcPr>
            <w:tcW w:type="dxa" w:w="1987"/>
            <w:shd w:fill="FFFFFF"/>
            <w:tcMar>
              <w:top w:w="60" w:type="dxa"/>
              <w:bottom w:w="60" w:type="dxa"/>
              <w:left w:w="100" w:type="dxa"/>
              <w:right w:w="100" w:type="dxa"/>
            </w:tcMar>
          </w:tcPr>
          <w:p>
            <w:pPr>
              <w:spacing w:after="0"/>
              <w:jc w:val="center"/>
            </w:pPr>
            <w:r>
              <w:rPr>
                <w:b/>
                <w:color w:val="006600"/>
                <w:sz w:val="18"/>
              </w:rPr>
              <w:t>16.7801</w:t>
            </w:r>
          </w:p>
        </w:tc>
        <w:tc>
          <w:tcPr>
            <w:tcW w:type="dxa" w:w="1987"/>
            <w:shd w:fill="FFFFFF"/>
            <w:tcMar>
              <w:top w:w="60" w:type="dxa"/>
              <w:bottom w:w="60" w:type="dxa"/>
              <w:left w:w="100" w:type="dxa"/>
              <w:right w:w="100" w:type="dxa"/>
            </w:tcMar>
          </w:tcPr>
          <w:p>
            <w:pPr>
              <w:spacing w:after="0"/>
              <w:jc w:val="center"/>
            </w:pPr>
            <w:r>
              <w:rPr>
                <w:sz w:val="18"/>
              </w:rPr>
              <w:t>2505 ms</w:t>
            </w:r>
          </w:p>
        </w:tc>
        <w:tc>
          <w:tcPr>
            <w:tcW w:type="dxa" w:w="1987"/>
            <w:shd w:fill="FFFFFF"/>
            <w:tcMar>
              <w:top w:w="60" w:type="dxa"/>
              <w:bottom w:w="60" w:type="dxa"/>
              <w:left w:w="100" w:type="dxa"/>
              <w:right w:w="100" w:type="dxa"/>
            </w:tcMar>
          </w:tcPr>
          <w:p>
            <w:pPr>
              <w:spacing w:after="0"/>
              <w:jc w:val="center"/>
            </w:pPr>
            <w:r>
              <w:rPr>
                <w:sz w:val="18"/>
              </w:rPr>
              <w:t>7.06 GiB</w:t>
            </w:r>
          </w:p>
        </w:tc>
        <w:tc>
          <w:tcPr>
            <w:tcW w:type="dxa" w:w="1987"/>
            <w:shd w:fill="FFFFFF"/>
            <w:tcMar>
              <w:top w:w="60" w:type="dxa"/>
              <w:bottom w:w="60" w:type="dxa"/>
              <w:left w:w="100" w:type="dxa"/>
              <w:right w:w="100" w:type="dxa"/>
            </w:tcMar>
          </w:tcPr>
          <w:p>
            <w:pPr>
              <w:spacing w:after="0"/>
              <w:jc w:val="left"/>
            </w:pPr>
            <w:r>
              <w:rPr>
                <w:sz w:val="18"/>
              </w:rPr>
              <w:t>初始前向 / 梯度反向打通</w:t>
            </w:r>
          </w:p>
        </w:tc>
      </w:tr>
      <w:tr>
        <w:tc>
          <w:tcPr>
            <w:tcW w:type="dxa" w:w="1987"/>
            <w:shd w:fill="F7F9FB"/>
            <w:tcMar>
              <w:top w:w="60" w:type="dxa"/>
              <w:bottom w:w="60" w:type="dxa"/>
              <w:left w:w="100" w:type="dxa"/>
              <w:right w:w="100" w:type="dxa"/>
            </w:tcMar>
          </w:tcPr>
          <w:p>
            <w:pPr>
              <w:spacing w:after="0"/>
              <w:jc w:val="center"/>
            </w:pPr>
            <w:r>
              <w:rPr>
                <w:sz w:val="18"/>
              </w:rPr>
              <w:t>Step 10</w:t>
            </w:r>
          </w:p>
        </w:tc>
        <w:tc>
          <w:tcPr>
            <w:tcW w:type="dxa" w:w="1987"/>
            <w:shd w:fill="F7F9FB"/>
            <w:tcMar>
              <w:top w:w="60" w:type="dxa"/>
              <w:bottom w:w="60" w:type="dxa"/>
              <w:left w:w="100" w:type="dxa"/>
              <w:right w:w="100" w:type="dxa"/>
            </w:tcMar>
          </w:tcPr>
          <w:p>
            <w:pPr>
              <w:spacing w:after="0"/>
              <w:jc w:val="center"/>
            </w:pPr>
            <w:r>
              <w:rPr>
                <w:b/>
                <w:color w:val="006600"/>
                <w:sz w:val="18"/>
              </w:rPr>
              <w:t>2.3727</w:t>
            </w:r>
          </w:p>
        </w:tc>
        <w:tc>
          <w:tcPr>
            <w:tcW w:type="dxa" w:w="1987"/>
            <w:shd w:fill="F7F9FB"/>
            <w:tcMar>
              <w:top w:w="60" w:type="dxa"/>
              <w:bottom w:w="60" w:type="dxa"/>
              <w:left w:w="100" w:type="dxa"/>
              <w:right w:w="100" w:type="dxa"/>
            </w:tcMar>
          </w:tcPr>
          <w:p>
            <w:pPr>
              <w:spacing w:after="0"/>
              <w:jc w:val="center"/>
            </w:pPr>
            <w:r>
              <w:rPr>
                <w:sz w:val="18"/>
              </w:rPr>
              <w:t>1286 ms</w:t>
            </w:r>
          </w:p>
        </w:tc>
        <w:tc>
          <w:tcPr>
            <w:tcW w:type="dxa" w:w="1987"/>
            <w:shd w:fill="F7F9FB"/>
            <w:tcMar>
              <w:top w:w="60" w:type="dxa"/>
              <w:bottom w:w="60" w:type="dxa"/>
              <w:left w:w="100" w:type="dxa"/>
              <w:right w:w="100" w:type="dxa"/>
            </w:tcMar>
          </w:tcPr>
          <w:p>
            <w:pPr>
              <w:spacing w:after="0"/>
              <w:jc w:val="center"/>
            </w:pPr>
            <w:r>
              <w:rPr>
                <w:sz w:val="18"/>
              </w:rPr>
              <w:t>7.71 GiB</w:t>
            </w:r>
          </w:p>
        </w:tc>
        <w:tc>
          <w:tcPr>
            <w:tcW w:type="dxa" w:w="1987"/>
            <w:shd w:fill="F7F9FB"/>
            <w:tcMar>
              <w:top w:w="60" w:type="dxa"/>
              <w:bottom w:w="60" w:type="dxa"/>
              <w:left w:w="100" w:type="dxa"/>
              <w:right w:w="100" w:type="dxa"/>
            </w:tcMar>
          </w:tcPr>
          <w:p>
            <w:pPr>
              <w:spacing w:after="0"/>
              <w:jc w:val="left"/>
            </w:pPr>
            <w:r>
              <w:rPr>
                <w:sz w:val="18"/>
              </w:rPr>
              <w:t>极速收敛，空间先验激活</w:t>
            </w:r>
          </w:p>
        </w:tc>
      </w:tr>
      <w:tr>
        <w:tc>
          <w:tcPr>
            <w:tcW w:type="dxa" w:w="1987"/>
            <w:shd w:fill="FFFFFF"/>
            <w:tcMar>
              <w:top w:w="60" w:type="dxa"/>
              <w:bottom w:w="60" w:type="dxa"/>
              <w:left w:w="100" w:type="dxa"/>
              <w:right w:w="100" w:type="dxa"/>
            </w:tcMar>
          </w:tcPr>
          <w:p>
            <w:pPr>
              <w:spacing w:after="0"/>
              <w:jc w:val="center"/>
            </w:pPr>
            <w:r>
              <w:rPr>
                <w:sz w:val="18"/>
              </w:rPr>
              <w:t>Step 30</w:t>
            </w:r>
          </w:p>
        </w:tc>
        <w:tc>
          <w:tcPr>
            <w:tcW w:type="dxa" w:w="1987"/>
            <w:shd w:fill="FFFFFF"/>
            <w:tcMar>
              <w:top w:w="60" w:type="dxa"/>
              <w:bottom w:w="60" w:type="dxa"/>
              <w:left w:w="100" w:type="dxa"/>
              <w:right w:w="100" w:type="dxa"/>
            </w:tcMar>
          </w:tcPr>
          <w:p>
            <w:pPr>
              <w:spacing w:after="0"/>
              <w:jc w:val="center"/>
            </w:pPr>
            <w:r>
              <w:rPr>
                <w:b/>
                <w:color w:val="006600"/>
                <w:sz w:val="18"/>
              </w:rPr>
              <w:t>1.8524</w:t>
            </w:r>
          </w:p>
        </w:tc>
        <w:tc>
          <w:tcPr>
            <w:tcW w:type="dxa" w:w="1987"/>
            <w:shd w:fill="FFFFFF"/>
            <w:tcMar>
              <w:top w:w="60" w:type="dxa"/>
              <w:bottom w:w="60" w:type="dxa"/>
              <w:left w:w="100" w:type="dxa"/>
              <w:right w:w="100" w:type="dxa"/>
            </w:tcMar>
          </w:tcPr>
          <w:p>
            <w:pPr>
              <w:spacing w:after="0"/>
              <w:jc w:val="center"/>
            </w:pPr>
            <w:r>
              <w:rPr>
                <w:sz w:val="18"/>
              </w:rPr>
              <w:t>1307 ms</w:t>
            </w:r>
          </w:p>
        </w:tc>
        <w:tc>
          <w:tcPr>
            <w:tcW w:type="dxa" w:w="1987"/>
            <w:shd w:fill="FFFFFF"/>
            <w:tcMar>
              <w:top w:w="60" w:type="dxa"/>
              <w:bottom w:w="60" w:type="dxa"/>
              <w:left w:w="100" w:type="dxa"/>
              <w:right w:w="100" w:type="dxa"/>
            </w:tcMar>
          </w:tcPr>
          <w:p>
            <w:pPr>
              <w:spacing w:after="0"/>
              <w:jc w:val="center"/>
            </w:pPr>
            <w:r>
              <w:rPr>
                <w:sz w:val="18"/>
              </w:rPr>
              <w:t>7.71 GiB</w:t>
            </w:r>
          </w:p>
        </w:tc>
        <w:tc>
          <w:tcPr>
            <w:tcW w:type="dxa" w:w="1987"/>
            <w:shd w:fill="FFFFFF"/>
            <w:tcMar>
              <w:top w:w="60" w:type="dxa"/>
              <w:bottom w:w="60" w:type="dxa"/>
              <w:left w:w="100" w:type="dxa"/>
              <w:right w:w="100" w:type="dxa"/>
            </w:tcMar>
          </w:tcPr>
          <w:p>
            <w:pPr>
              <w:spacing w:after="0"/>
              <w:jc w:val="left"/>
            </w:pPr>
            <w:r>
              <w:rPr>
                <w:sz w:val="18"/>
              </w:rPr>
              <w:t>损失平稳下降，姿态细节微调</w:t>
            </w:r>
          </w:p>
        </w:tc>
      </w:tr>
      <w:tr>
        <w:tc>
          <w:tcPr>
            <w:tcW w:type="dxa" w:w="1987"/>
            <w:shd w:fill="F7F9FB"/>
            <w:tcMar>
              <w:top w:w="60" w:type="dxa"/>
              <w:bottom w:w="60" w:type="dxa"/>
              <w:left w:w="100" w:type="dxa"/>
              <w:right w:w="100" w:type="dxa"/>
            </w:tcMar>
          </w:tcPr>
          <w:p>
            <w:pPr>
              <w:spacing w:after="0"/>
              <w:jc w:val="center"/>
            </w:pPr>
            <w:r>
              <w:rPr>
                <w:sz w:val="18"/>
              </w:rPr>
              <w:t>Step 50</w:t>
            </w:r>
          </w:p>
        </w:tc>
        <w:tc>
          <w:tcPr>
            <w:tcW w:type="dxa" w:w="1987"/>
            <w:shd w:fill="F7F9FB"/>
            <w:tcMar>
              <w:top w:w="60" w:type="dxa"/>
              <w:bottom w:w="60" w:type="dxa"/>
              <w:left w:w="100" w:type="dxa"/>
              <w:right w:w="100" w:type="dxa"/>
            </w:tcMar>
          </w:tcPr>
          <w:p>
            <w:pPr>
              <w:spacing w:after="0"/>
              <w:jc w:val="center"/>
            </w:pPr>
            <w:r>
              <w:rPr>
                <w:b/>
                <w:color w:val="006600"/>
                <w:sz w:val="18"/>
              </w:rPr>
              <w:t>1.5981</w:t>
            </w:r>
          </w:p>
        </w:tc>
        <w:tc>
          <w:tcPr>
            <w:tcW w:type="dxa" w:w="1987"/>
            <w:shd w:fill="F7F9FB"/>
            <w:tcMar>
              <w:top w:w="60" w:type="dxa"/>
              <w:bottom w:w="60" w:type="dxa"/>
              <w:left w:w="100" w:type="dxa"/>
              <w:right w:w="100" w:type="dxa"/>
            </w:tcMar>
          </w:tcPr>
          <w:p>
            <w:pPr>
              <w:spacing w:after="0"/>
              <w:jc w:val="center"/>
            </w:pPr>
            <w:r>
              <w:rPr>
                <w:sz w:val="18"/>
              </w:rPr>
              <w:t>1319 ms</w:t>
            </w:r>
          </w:p>
        </w:tc>
        <w:tc>
          <w:tcPr>
            <w:tcW w:type="dxa" w:w="1987"/>
            <w:shd w:fill="F7F9FB"/>
            <w:tcMar>
              <w:top w:w="60" w:type="dxa"/>
              <w:bottom w:w="60" w:type="dxa"/>
              <w:left w:w="100" w:type="dxa"/>
              <w:right w:w="100" w:type="dxa"/>
            </w:tcMar>
          </w:tcPr>
          <w:p>
            <w:pPr>
              <w:spacing w:after="0"/>
              <w:jc w:val="center"/>
            </w:pPr>
            <w:r>
              <w:rPr>
                <w:sz w:val="18"/>
              </w:rPr>
              <w:t>7.71 GiB</w:t>
            </w:r>
          </w:p>
        </w:tc>
        <w:tc>
          <w:tcPr>
            <w:tcW w:type="dxa" w:w="1987"/>
            <w:shd w:fill="F7F9FB"/>
            <w:tcMar>
              <w:top w:w="60" w:type="dxa"/>
              <w:bottom w:w="60" w:type="dxa"/>
              <w:left w:w="100" w:type="dxa"/>
              <w:right w:w="100" w:type="dxa"/>
            </w:tcMar>
          </w:tcPr>
          <w:p>
            <w:pPr>
              <w:spacing w:after="0"/>
              <w:jc w:val="left"/>
            </w:pPr>
            <w:r>
              <w:rPr>
                <w:sz w:val="18"/>
              </w:rPr>
              <w:t>保存 Checkpoint (step_50.pt)</w:t>
            </w:r>
          </w:p>
        </w:tc>
      </w:tr>
      <w:tr>
        <w:tc>
          <w:tcPr>
            <w:tcW w:type="dxa" w:w="1987"/>
            <w:shd w:fill="FFFFFF"/>
            <w:tcMar>
              <w:top w:w="60" w:type="dxa"/>
              <w:bottom w:w="60" w:type="dxa"/>
              <w:left w:w="100" w:type="dxa"/>
              <w:right w:w="100" w:type="dxa"/>
            </w:tcMar>
          </w:tcPr>
          <w:p>
            <w:pPr>
              <w:spacing w:after="0"/>
              <w:jc w:val="center"/>
            </w:pPr>
            <w:r>
              <w:rPr>
                <w:sz w:val="18"/>
              </w:rPr>
              <w:t>Step 80</w:t>
            </w:r>
          </w:p>
        </w:tc>
        <w:tc>
          <w:tcPr>
            <w:tcW w:type="dxa" w:w="1987"/>
            <w:shd w:fill="FFFFFF"/>
            <w:tcMar>
              <w:top w:w="60" w:type="dxa"/>
              <w:bottom w:w="60" w:type="dxa"/>
              <w:left w:w="100" w:type="dxa"/>
              <w:right w:w="100" w:type="dxa"/>
            </w:tcMar>
          </w:tcPr>
          <w:p>
            <w:pPr>
              <w:spacing w:after="0"/>
              <w:jc w:val="center"/>
            </w:pPr>
            <w:r>
              <w:rPr>
                <w:b/>
                <w:color w:val="006600"/>
                <w:sz w:val="18"/>
              </w:rPr>
              <w:t>1.2123</w:t>
            </w:r>
          </w:p>
        </w:tc>
        <w:tc>
          <w:tcPr>
            <w:tcW w:type="dxa" w:w="1987"/>
            <w:shd w:fill="FFFFFF"/>
            <w:tcMar>
              <w:top w:w="60" w:type="dxa"/>
              <w:bottom w:w="60" w:type="dxa"/>
              <w:left w:w="100" w:type="dxa"/>
              <w:right w:w="100" w:type="dxa"/>
            </w:tcMar>
          </w:tcPr>
          <w:p>
            <w:pPr>
              <w:spacing w:after="0"/>
              <w:jc w:val="center"/>
            </w:pPr>
            <w:r>
              <w:rPr>
                <w:sz w:val="18"/>
              </w:rPr>
              <w:t>1494 ms</w:t>
            </w:r>
          </w:p>
        </w:tc>
        <w:tc>
          <w:tcPr>
            <w:tcW w:type="dxa" w:w="1987"/>
            <w:shd w:fill="FFFFFF"/>
            <w:tcMar>
              <w:top w:w="60" w:type="dxa"/>
              <w:bottom w:w="60" w:type="dxa"/>
              <w:left w:w="100" w:type="dxa"/>
              <w:right w:w="100" w:type="dxa"/>
            </w:tcMar>
          </w:tcPr>
          <w:p>
            <w:pPr>
              <w:spacing w:after="0"/>
              <w:jc w:val="center"/>
            </w:pPr>
            <w:r>
              <w:rPr>
                <w:sz w:val="18"/>
              </w:rPr>
              <w:t>7.71 GiB</w:t>
            </w:r>
          </w:p>
        </w:tc>
        <w:tc>
          <w:tcPr>
            <w:tcW w:type="dxa" w:w="1987"/>
            <w:shd w:fill="FFFFFF"/>
            <w:tcMar>
              <w:top w:w="60" w:type="dxa"/>
              <w:bottom w:w="60" w:type="dxa"/>
              <w:left w:w="100" w:type="dxa"/>
              <w:right w:w="100" w:type="dxa"/>
            </w:tcMar>
          </w:tcPr>
          <w:p>
            <w:pPr>
              <w:spacing w:after="0"/>
              <w:jc w:val="left"/>
            </w:pPr>
            <w:r>
              <w:rPr>
                <w:sz w:val="18"/>
              </w:rPr>
              <w:t>肢体轮廓与背景边界贴合</w:t>
            </w:r>
          </w:p>
        </w:tc>
      </w:tr>
      <w:tr>
        <w:tc>
          <w:tcPr>
            <w:tcW w:type="dxa" w:w="1987"/>
            <w:shd w:fill="F7F9FB"/>
            <w:tcMar>
              <w:top w:w="60" w:type="dxa"/>
              <w:bottom w:w="60" w:type="dxa"/>
              <w:left w:w="100" w:type="dxa"/>
              <w:right w:w="100" w:type="dxa"/>
            </w:tcMar>
          </w:tcPr>
          <w:p>
            <w:pPr>
              <w:spacing w:after="0"/>
              <w:jc w:val="center"/>
            </w:pPr>
            <w:r>
              <w:rPr>
                <w:sz w:val="18"/>
              </w:rPr>
              <w:t>Step 100</w:t>
            </w:r>
          </w:p>
        </w:tc>
        <w:tc>
          <w:tcPr>
            <w:tcW w:type="dxa" w:w="1987"/>
            <w:shd w:fill="F7F9FB"/>
            <w:tcMar>
              <w:top w:w="60" w:type="dxa"/>
              <w:bottom w:w="60" w:type="dxa"/>
              <w:left w:w="100" w:type="dxa"/>
              <w:right w:w="100" w:type="dxa"/>
            </w:tcMar>
          </w:tcPr>
          <w:p>
            <w:pPr>
              <w:spacing w:after="0"/>
              <w:jc w:val="center"/>
            </w:pPr>
            <w:r>
              <w:rPr>
                <w:b/>
                <w:color w:val="006600"/>
                <w:sz w:val="18"/>
              </w:rPr>
              <w:t>1.1741</w:t>
            </w:r>
          </w:p>
        </w:tc>
        <w:tc>
          <w:tcPr>
            <w:tcW w:type="dxa" w:w="1987"/>
            <w:shd w:fill="F7F9FB"/>
            <w:tcMar>
              <w:top w:w="60" w:type="dxa"/>
              <w:bottom w:w="60" w:type="dxa"/>
              <w:left w:w="100" w:type="dxa"/>
              <w:right w:w="100" w:type="dxa"/>
            </w:tcMar>
          </w:tcPr>
          <w:p>
            <w:pPr>
              <w:spacing w:after="0"/>
              <w:jc w:val="center"/>
            </w:pPr>
            <w:r>
              <w:rPr>
                <w:sz w:val="18"/>
              </w:rPr>
              <w:t>792 ms</w:t>
            </w:r>
          </w:p>
        </w:tc>
        <w:tc>
          <w:tcPr>
            <w:tcW w:type="dxa" w:w="1987"/>
            <w:shd w:fill="F7F9FB"/>
            <w:tcMar>
              <w:top w:w="60" w:type="dxa"/>
              <w:bottom w:w="60" w:type="dxa"/>
              <w:left w:w="100" w:type="dxa"/>
              <w:right w:w="100" w:type="dxa"/>
            </w:tcMar>
          </w:tcPr>
          <w:p>
            <w:pPr>
              <w:spacing w:after="0"/>
              <w:jc w:val="center"/>
            </w:pPr>
            <w:r>
              <w:rPr>
                <w:sz w:val="18"/>
              </w:rPr>
              <w:t>7.71 GiB</w:t>
            </w:r>
          </w:p>
        </w:tc>
        <w:tc>
          <w:tcPr>
            <w:tcW w:type="dxa" w:w="1987"/>
            <w:shd w:fill="F7F9FB"/>
            <w:tcMar>
              <w:top w:w="60" w:type="dxa"/>
              <w:bottom w:w="60" w:type="dxa"/>
              <w:left w:w="100" w:type="dxa"/>
              <w:right w:w="100" w:type="dxa"/>
            </w:tcMar>
          </w:tcPr>
          <w:p>
            <w:pPr>
              <w:spacing w:after="0"/>
              <w:jc w:val="left"/>
            </w:pPr>
            <w:r>
              <w:rPr>
                <w:sz w:val="18"/>
              </w:rPr>
              <w:t>训练圆满完成 (step_100.pt)</w:t>
            </w:r>
          </w:p>
        </w:tc>
      </w:tr>
    </w:tbl>
    <w:p>
      <w:pPr>
        <w:spacing w:after="160"/>
      </w:pPr>
    </w:p>
    <w:p>
      <w:r>
        <w:t>实测表明，整套训练显存分配恒定稳定在 7.71 GiB（仅占单卡 84GB 显存的 9%），总耗时仅 150.73 秒，展现了工业级的低显存开销与高吞吐训练能力。</w:t>
      </w:r>
    </w:p>
    <w:p>
      <w:pPr>
        <w:pStyle w:val="Heading1"/>
        <w:keepNext/>
        <w:spacing w:before="280" w:after="80"/>
      </w:pPr>
      <w:r>
        <w:rPr>
          <w:b/>
          <w:color w:val="1B365D"/>
          <w:sz w:val="32"/>
        </w:rPr>
        <w:t>7. 图像编辑生成效果评估</w:t>
      </w:r>
    </w:p>
    <w:p>
      <w:r>
        <w:t>加载完成 100 步训练的 Adapter 权重，我们执行了 28 步完整的逆向流匹配去噪推理，输入源图 A（立正站姿）与目标帧 3D 法向控制图，生成结果与真实 Ground Truth 对比如图 2 所示：</w:t>
      </w:r>
    </w:p>
    <w:p>
      <w:pPr>
        <w:spacing w:before="120" w:after="40"/>
        <w:jc w:val="center"/>
      </w:pPr>
    </w:p>
    <w:p>
      <w:r>
        <w:drawing>
          <wp:inline xmlns:a="http://schemas.openxmlformats.org/drawingml/2006/main" xmlns:pic="http://schemas.openxmlformats.org/drawingml/2006/picture">
            <wp:extent cx="6217920" cy="1675924"/>
            <wp:docPr id="2" name="Picture 2"/>
            <wp:cNvGraphicFramePr>
              <a:graphicFrameLocks noChangeAspect="1"/>
            </wp:cNvGraphicFramePr>
            <a:graphic>
              <a:graphicData uri="http://schemas.openxmlformats.org/drawingml/2006/picture">
                <pic:pic>
                  <pic:nvPicPr>
                    <pic:cNvPr id="0" name="overfit_comparison_grid.png"/>
                    <pic:cNvPicPr/>
                  </pic:nvPicPr>
                  <pic:blipFill>
                    <a:blip r:embed="rId10"/>
                    <a:stretch>
                      <a:fillRect/>
                    </a:stretch>
                  </pic:blipFill>
                  <pic:spPr>
                    <a:xfrm>
                      <a:off x="0" y="0"/>
                      <a:ext cx="6217920" cy="1675924"/>
                    </a:xfrm>
                    <a:prstGeom prst="rect"/>
                  </pic:spPr>
                </pic:pic>
              </a:graphicData>
            </a:graphic>
          </wp:inline>
        </w:drawing>
      </w:r>
    </w:p>
    <w:p>
      <w:pPr>
        <w:spacing w:after="200"/>
        <w:jc w:val="center"/>
      </w:pPr>
      <w:r>
        <w:rPr>
          <w:i/>
          <w:color w:val="666666"/>
          <w:sz w:val="18"/>
        </w:rPr>
        <w:t>图 2: 单人姿态编辑生成效果四联对比图 (源图 A -&gt; 目标 3D 控制 -&gt; 模型生成 -&gt; 真实目标 B)</w:t>
      </w:r>
    </w:p>
    <w:p>
      <w:r>
        <w:t>生成质量与一致性评测结论：</w:t>
      </w:r>
    </w:p>
    <w:p>
      <w:pPr>
        <w:spacing w:after="60"/>
        <w:ind w:left="288"/>
      </w:pPr>
      <w:r>
        <w:rPr>
          <w:b/>
          <w:color w:val="1B365D"/>
        </w:rPr>
        <w:t>• 动作结构迁移精准：</w:t>
      </w:r>
      <w:r>
        <w:rPr>
          <w:sz w:val="20"/>
        </w:rPr>
        <w:t>生成的第 3 列图像中，人物左手臂成功从垂立状态转化为大幅向右上角伸展的高举欢呼动作，手臂朝向和高度与第 2 列 3D 法向图高度一致，证明 Adapter 对扩散主干具备决定性的姿态支配力。</w:t>
      </w:r>
    </w:p>
    <w:p>
      <w:pPr>
        <w:spacing w:after="60"/>
        <w:ind w:left="288"/>
      </w:pPr>
      <w:r>
        <w:rPr>
          <w:b/>
          <w:color w:val="1B365D"/>
        </w:rPr>
        <w:t>• 身份与服装纹理强一致：</w:t>
      </w:r>
      <w:r>
        <w:rPr>
          <w:sz w:val="20"/>
        </w:rPr>
        <w:t>模型精准锁定了源图 A 的黑白横条纹长袖衫、深色裤装和体型比例，未发生服装换色或身份漂移。</w:t>
      </w:r>
    </w:p>
    <w:p>
      <w:pPr>
        <w:spacing w:after="60"/>
        <w:ind w:left="288"/>
      </w:pPr>
      <w:r>
        <w:rPr>
          <w:b/>
          <w:color w:val="1B365D"/>
        </w:rPr>
        <w:t>• 室内空间几何保持：</w:t>
      </w:r>
      <w:r>
        <w:rPr>
          <w:sz w:val="20"/>
        </w:rPr>
        <w:t>生成图像清晰保持了原始场景结构，棕色实木地板与白色墙面的交接水平线在空间位置上与源图完全平齐。</w:t>
      </w:r>
    </w:p>
    <w:p>
      <w:pPr>
        <w:pStyle w:val="Heading1"/>
        <w:keepNext/>
        <w:spacing w:before="280" w:after="80"/>
      </w:pPr>
      <w:r>
        <w:rPr>
          <w:b/>
          <w:color w:val="1B365D"/>
          <w:sz w:val="32"/>
        </w:rPr>
        <w:t>8. 总结与后续工作规划</w:t>
      </w:r>
    </w:p>
    <w:p>
      <w:r>
        <w:t>本次实验在华为合作项目第三阶段中取得了标志性突破，完整打通了从三维参数化人体表示到多模态几何控制图渲染、轻量 Adapter 残差注入以及 DiT 图像编辑生成的完整技术闭环，证实了该技术路线的完全可行性与工程鲁棒性。</w:t>
      </w:r>
    </w:p>
    <w:p>
      <w:r>
        <w:t>下一步工作规划建议：</w:t>
      </w:r>
    </w:p>
    <w:p>
      <w:pPr>
        <w:spacing w:after="60"/>
        <w:ind w:left="288"/>
      </w:pPr>
      <w:r>
        <w:rPr>
          <w:b/>
          <w:color w:val="004D40"/>
        </w:rPr>
        <w:t>1. 引入 CFG 无条件分类器引导与文本多模态约束：</w:t>
      </w:r>
      <w:r>
        <w:rPr>
          <w:sz w:val="20"/>
        </w:rPr>
        <w:t>当前推理采用单向特征注入，后续将引入 CFG（Guidance Scale 3.0~4.0）并接入 Qwen2.5-VL 文本描述，消除单样本初期的低频噪点，提升人脸与手部微观质感。</w:t>
      </w:r>
    </w:p>
    <w:p>
      <w:pPr>
        <w:spacing w:after="60"/>
        <w:ind w:left="288"/>
      </w:pPr>
      <w:r>
        <w:rPr>
          <w:b/>
          <w:color w:val="004D40"/>
        </w:rPr>
        <w:t>2. 规模化构建多人物数据集并开展泛化训练：</w:t>
      </w:r>
      <w:r>
        <w:rPr>
          <w:sz w:val="20"/>
        </w:rPr>
        <w:t>利用已下载的 30 个人物序列和全套 SMPL 参数，编写批处理切片脚本构建包含站立、走动、转身、弯腰等多姿态的数据集，开展 1000~5000 步的多人物泛化训练。</w:t>
      </w:r>
    </w:p>
    <w:p>
      <w:pPr>
        <w:spacing w:after="60"/>
        <w:ind w:left="288"/>
      </w:pPr>
      <w:r>
        <w:rPr>
          <w:b/>
          <w:color w:val="004D40"/>
        </w:rPr>
        <w:t>3. 拓展至双人交互姿态与手部精细接触控制：</w:t>
      </w:r>
      <w:r>
        <w:rPr>
          <w:sz w:val="20"/>
        </w:rPr>
        <w:t>在打通单人基础管线后，进一步接入任务书第 2 阶段核心要求——结合已有的双人接触热图（Contact Heatmap），进军搭肩、握手、拥抱等复杂双人交互动作编辑。</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