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F4E79"/>
          <w:sz w:val="64"/>
          <w:szCs w:val="64"/>
        </w:rPr>
        <w:t xml:space="preserve">PlanProof</w:t>
      </w:r>
    </w:p>
    <w:p>
      <w:pPr>
        <w:spacing w:before="0" w:after="120"/>
      </w:pPr>
      <w:r>
        <w:rPr>
          <w:rFonts w:ascii="Arial" w:cs="Arial" w:eastAsia="Arial" w:hAnsi="Arial"/>
          <w:color w:val="2E75B6"/>
          <w:sz w:val="32"/>
          <w:szCs w:val="32"/>
        </w:rPr>
        <w:t xml:space="preserve">Assessability-Aware Multimodal Planning Compliance Validation</w:t>
      </w:r>
    </w:p>
    <w:p>
      <w:pPr>
        <w:pBdr>
          <w:bottom w:val="single" w:color="2E75B6" w:sz="6" w:space="1"/>
        </w:pBdr>
        <w:spacing w:before="120" w:after="120"/>
      </w:pPr>
    </w:p>
    <w:p>
      <w:pPr>
        <w:spacing w:before="120" w:after="60"/>
      </w:pPr>
      <w:r>
        <w:rPr>
          <w:rFonts w:ascii="Arial" w:cs="Arial" w:eastAsia="Arial" w:hAnsi="Arial"/>
          <w:b/>
          <w:bCs/>
          <w:color w:val="555555"/>
          <w:sz w:val="24"/>
          <w:szCs w:val="24"/>
        </w:rPr>
        <w:t xml:space="preserve">MSc Dissertation Proposal</w:t>
      </w:r>
    </w:p>
    <w:p>
      <w:pPr>
        <w:spacing w:before="0" w:after="60"/>
      </w:pPr>
      <w:r>
        <w:rPr>
          <w:rFonts w:ascii="Arial" w:cs="Arial" w:eastAsia="Arial" w:hAnsi="Arial"/>
          <w:color w:val="777777"/>
          <w:sz w:val="22"/>
          <w:szCs w:val="22"/>
        </w:rPr>
        <w:t xml:space="preserve">Data Science with Work Placement  |  2025–2026</w:t>
      </w:r>
    </w:p>
    <w:p>
      <w:pPr>
        <w:spacing w:before="0" w:after="60"/>
      </w:pPr>
      <w:r>
        <w:rPr>
          <w:rFonts w:ascii="Arial" w:cs="Arial" w:eastAsia="Arial" w:hAnsi="Arial"/>
          <w:color w:val="777777"/>
          <w:sz w:val="22"/>
          <w:szCs w:val="22"/>
        </w:rPr>
        <w:t xml:space="preserve">Partner Organisation: Bristol City Council</w:t>
      </w:r>
    </w:p>
    <w:p>
      <w:r>
        <w:br w:type="page"/>
      </w:r>
    </w:p>
    <w:p>
      <w:pPr>
        <w:pStyle w:val="Heading1"/>
        <w:spacing w:before="360" w:after="120"/>
      </w:pPr>
      <w:r>
        <w:rPr>
          <w:rFonts w:ascii="Arial" w:cs="Arial" w:eastAsia="Arial" w:hAnsi="Arial"/>
          <w:b/>
          <w:bCs/>
          <w:color w:val="1F4E79"/>
          <w:sz w:val="32"/>
          <w:szCs w:val="32"/>
        </w:rPr>
        <w:t xml:space="preserve">1. Executive Summary</w:t>
      </w:r>
    </w:p>
    <w:p>
      <w:pPr>
        <w:spacing w:before="80" w:after="80"/>
      </w:pPr>
      <w:r>
        <w:rPr>
          <w:rFonts w:ascii="Arial" w:cs="Arial" w:eastAsia="Arial" w:hAnsi="Arial"/>
          <w:sz w:val="22"/>
          <w:szCs w:val="22"/>
        </w:rPr>
        <w:t xml:space="preserve">Planning authorities in England receive over 3.5 million applications per year (Alan Turing Institute, 2024). Each arrives as a heterogeneous bundle of PDFs and images — forms, drawings, reports — that must be manually cross-referenced against complex regulatory frameworks. This process is slow, inconsistent, and expensive.</w:t>
      </w:r>
    </w:p>
    <w:p>
      <w:pPr>
        <w:spacing w:before="80" w:after="80"/>
      </w:pPr>
      <w:r>
        <w:rPr>
          <w:rFonts w:ascii="Arial" w:cs="Arial" w:eastAsia="Arial" w:hAnsi="Arial"/>
          <w:sz w:val="22"/>
          <w:szCs w:val="22"/>
        </w:rPr>
        <w:t xml:space="preserve">PlanProof proposes a novel AI-assisted validation framework that does not simply extract facts from planning documents and declare a verdict. Instead, it asks a harder and more practically important question: is there enough trustworthy, mutually consistent evidence to assess a given planning rule at all? Where evidence is sufficient, the system evaluates the rule deterministically. Where it is not, the system identifies precisely what additional information is required — mirroring the real operational behaviour of planning officers who return incomplete or contradictory submissions for clarification.</w:t>
      </w:r>
    </w:p>
    <w:p>
      <w:pPr>
        <w:spacing w:before="80" w:after="80"/>
      </w:pPr>
      <w:r>
        <w:rPr>
          <w:rFonts w:ascii="Arial" w:cs="Arial" w:eastAsia="Arial" w:hAnsi="Arial"/>
          <w:sz w:val="22"/>
          <w:szCs w:val="22"/>
        </w:rPr>
        <w:t xml:space="preserve">The core technical contribution is a Spatial Normative Knowledge Graph (SNKG) that models planning entities, their spatial relationships, and the regulatory rules that govern them. A deterministic rule engine evaluates quantifiable constraints, a confidence-gating mechanism prevents low-quality extractions from producing spurious verdicts, and an assessability layer extends the traditional PASS/FAIL verdict space with a formally motivated NOT_ASSESSABLE outcome. The system produces a minimum evidence request — the smallest set of additional information that would unblock a currently unassessable rule.</w:t>
      </w:r>
    </w:p>
    <w:p>
      <w:pPr>
        <w:spacing w:before="80" w:after="80"/>
      </w:pPr>
      <w:r>
        <w:rPr>
          <w:rFonts w:ascii="Arial" w:cs="Arial" w:eastAsia="Arial" w:hAnsi="Arial"/>
          <w:sz w:val="22"/>
          <w:szCs w:val="22"/>
        </w:rPr>
        <w:t xml:space="preserve">The system is evaluated against a pure LLM baseline through a structured ablation study on real Bristol City Council application data supplemented by synthetically generated cases with known violations. The evaluation prioritises recall and precision for violation detection over generic accuracy, reflecting the asymmetric cost of missed violations in planning decisions.</w:t>
      </w:r>
    </w:p>
    <w:p>
      <w:r>
        <w:br w:type="page"/>
      </w:r>
    </w:p>
    <w:p>
      <w:pPr>
        <w:pStyle w:val="Heading1"/>
        <w:spacing w:before="360" w:after="120"/>
      </w:pPr>
      <w:r>
        <w:rPr>
          <w:rFonts w:ascii="Arial" w:cs="Arial" w:eastAsia="Arial" w:hAnsi="Arial"/>
          <w:b/>
          <w:bCs/>
          <w:color w:val="1F4E79"/>
          <w:sz w:val="32"/>
          <w:szCs w:val="32"/>
        </w:rPr>
        <w:t xml:space="preserve">2. Problem Statement and Motivation</w:t>
      </w:r>
    </w:p>
    <w:p>
      <w:pPr>
        <w:pStyle w:val="Heading2"/>
        <w:spacing w:before="240" w:after="80"/>
      </w:pPr>
      <w:r>
        <w:rPr>
          <w:rFonts w:ascii="Arial" w:cs="Arial" w:eastAsia="Arial" w:hAnsi="Arial"/>
          <w:b/>
          <w:bCs/>
          <w:color w:val="2E75B6"/>
          <w:sz w:val="26"/>
          <w:szCs w:val="26"/>
        </w:rPr>
        <w:t xml:space="preserve">2.1 The Gap in Current Practice</w:t>
      </w:r>
    </w:p>
    <w:p>
      <w:pPr>
        <w:spacing w:before="80" w:after="80"/>
      </w:pPr>
      <w:r>
        <w:rPr>
          <w:rFonts w:ascii="Arial" w:cs="Arial" w:eastAsia="Arial" w:hAnsi="Arial"/>
          <w:sz w:val="22"/>
          <w:szCs w:val="22"/>
        </w:rPr>
        <w:t xml:space="preserve">Existing research and commercial tools in AI-assisted planning focus on extraction — pulling values from documents and comparing them against thresholds. This framing misses the central practical challenge. Planning documents may disagree with each other, omit key values, contain unreadable drawings, or describe the same fact in incompatible units. A system that extracts a height value from one document and confidently evaluates it against a policy threshold, while ignoring a contradicting value in another document, is worse than no system at all: it suppresses the ambiguity that a planning officer would have surfaced.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6"/>
              <w:bottom w:val="single" w:color="2E75B6" w:sz="4"/>
              <w:right w:val="none"/>
            </w:tcBorders>
            <w:shd w:fill="EBF3FB" w:val="clear"/>
            <w:tcMar>
              <w:top w:type="dxa" w:w="120"/>
              <w:left w:type="dxa" w:w="160"/>
              <w:bottom w:type="dxa" w:w="120"/>
              <w:right w:type="dxa" w:w="160"/>
            </w:tcMar>
          </w:tcPr>
          <w:p>
            <w:r>
              <w:rPr>
                <w:rFonts w:ascii="Arial" w:cs="Arial" w:eastAsia="Arial" w:hAnsi="Arial"/>
                <w:b/>
                <w:bCs/>
                <w:color w:val="1F4E79"/>
                <w:sz w:val="22"/>
                <w:szCs w:val="22"/>
              </w:rPr>
              <w:t xml:space="preserve">Why assessability matters</w:t>
            </w:r>
          </w:p>
          <w:p>
            <w:r>
              <w:rPr>
                <w:rFonts w:ascii="Arial" w:cs="Arial" w:eastAsia="Arial" w:hAnsi="Arial"/>
                <w:i w:val="false"/>
                <w:iCs w:val="false"/>
                <w:sz w:val="21"/>
                <w:szCs w:val="21"/>
              </w:rPr>
              <w:t xml:space="preserve">A false alarm wastes officer time. A missed violation triggers no review at all. Planning AI systems must therefore reason not only about extracted values, but about whether those values are trustworthy enough to act on.</w:t>
            </w:r>
          </w:p>
        </w:tc>
      </w:tr>
    </w:tbl>
    <w:p>
      <w:pPr>
        <w:spacing w:before="120"/>
      </w:pPr>
    </w:p>
    <w:p>
      <w:pPr>
        <w:pStyle w:val="Heading2"/>
        <w:spacing w:before="240" w:after="80"/>
      </w:pPr>
      <w:r>
        <w:rPr>
          <w:rFonts w:ascii="Arial" w:cs="Arial" w:eastAsia="Arial" w:hAnsi="Arial"/>
          <w:b/>
          <w:bCs/>
          <w:color w:val="2E75B6"/>
          <w:sz w:val="26"/>
          <w:szCs w:val="26"/>
        </w:rPr>
        <w:t xml:space="preserve">2.2 Research Gap</w:t>
      </w:r>
    </w:p>
    <w:p>
      <w:pPr>
        <w:spacing w:before="80" w:after="80"/>
      </w:pPr>
      <w:r>
        <w:rPr>
          <w:rFonts w:ascii="Arial" w:cs="Arial" w:eastAsia="Arial" w:hAnsi="Arial"/>
          <w:sz w:val="22"/>
          <w:szCs w:val="22"/>
        </w:rPr>
        <w:t xml:space="preserve">The literature establishes several relevant building blocks: NLP-based regulatory compliance checking (Sleimi et al., 2022; Hashmi et al., 2020), knowledge graph-based rule representation (Bein et al., 2024; ScienceDirect built environment KG, 2024), and neurosymbolic approaches to compliance under uncertainty (Stanford ComplianceTwin, 2024; emergentmind.com NeSy survey, 2025). The UK planning domain has seen growing attention from the Alan Turing Institute and, most recently, a government contract with Google Cloud to develop AI planning tools for local authorities (Dezeen, March 2026).</w:t>
      </w:r>
    </w:p>
    <w:p>
      <w:pPr>
        <w:spacing w:before="80" w:after="80"/>
      </w:pPr>
      <w:r>
        <w:rPr>
          <w:rFonts w:ascii="Arial" w:cs="Arial" w:eastAsia="Arial" w:hAnsi="Arial"/>
          <w:sz w:val="22"/>
          <w:szCs w:val="22"/>
        </w:rPr>
        <w:t xml:space="preserve">However, no existing system in the planning domain addresses evidence sufficiency as a first-class computational concern. Existing tools either produce verdicts or flag missing fields; none formalise the relationship between rule requirements and evidence sources, none reconcile evidence across multiple heterogeneous documents, and none generate structured requests for the minimum additional evidence needed to unblock a rule evaluation.</w:t>
      </w:r>
    </w:p>
    <w:p>
      <w:pPr>
        <w:spacing w:before="80" w:after="80"/>
      </w:pPr>
      <w:r>
        <w:rPr>
          <w:rFonts w:ascii="Arial" w:cs="Arial" w:eastAsia="Arial" w:hAnsi="Arial"/>
          <w:sz w:val="22"/>
          <w:szCs w:val="22"/>
        </w:rPr>
        <w:t xml:space="preserve">PlanProof fills this gap.</w:t>
      </w:r>
    </w:p>
    <w:p>
      <w:r>
        <w:br w:type="page"/>
      </w:r>
    </w:p>
    <w:p>
      <w:pPr>
        <w:pStyle w:val="Heading1"/>
        <w:spacing w:before="360" w:after="120"/>
      </w:pPr>
      <w:r>
        <w:rPr>
          <w:rFonts w:ascii="Arial" w:cs="Arial" w:eastAsia="Arial" w:hAnsi="Arial"/>
          <w:b/>
          <w:bCs/>
          <w:color w:val="1F4E79"/>
          <w:sz w:val="32"/>
          <w:szCs w:val="32"/>
        </w:rPr>
        <w:t xml:space="preserve">3. Research Questions and Hypotheses</w:t>
      </w:r>
    </w:p>
    <w:p>
      <w:pPr>
        <w:pStyle w:val="Heading2"/>
        <w:spacing w:before="240" w:after="80"/>
      </w:pPr>
      <w:r>
        <w:rPr>
          <w:rFonts w:ascii="Arial" w:cs="Arial" w:eastAsia="Arial" w:hAnsi="Arial"/>
          <w:b/>
          <w:bCs/>
          <w:color w:val="2E75B6"/>
          <w:sz w:val="26"/>
          <w:szCs w:val="26"/>
        </w:rPr>
        <w:t xml:space="preserve">3.1 Primary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6"/>
              <w:bottom w:val="single" w:color="2E75B6" w:sz="4"/>
              <w:right w:val="none"/>
            </w:tcBorders>
            <w:shd w:fill="EBF3FB" w:val="clear"/>
            <w:tcMar>
              <w:top w:type="dxa" w:w="120"/>
              <w:left w:type="dxa" w:w="160"/>
              <w:bottom w:type="dxa" w:w="120"/>
              <w:right w:type="dxa" w:w="160"/>
            </w:tcMar>
          </w:tcPr>
          <w:p>
            <w:r>
              <w:rPr>
                <w:rFonts w:ascii="Arial" w:cs="Arial" w:eastAsia="Arial" w:hAnsi="Arial"/>
                <w:i/>
                <w:iCs/>
                <w:sz w:val="21"/>
                <w:szCs w:val="21"/>
              </w:rPr>
              <w:t xml:space="preserve">How can a hybrid AI architecture combining multimodal document understanding, knowledge graph representation, and assessability-aware rule evaluation improve the accuracy, reliability, and interpretability of automated planning compliance checking compared to a pure LLM baseline?</w:t>
            </w:r>
          </w:p>
        </w:tc>
      </w:tr>
    </w:tbl>
    <w:p>
      <w:pPr>
        <w:spacing w:before="120"/>
      </w:pPr>
    </w:p>
    <w:p>
      <w:pPr>
        <w:pStyle w:val="Heading2"/>
        <w:spacing w:before="240" w:after="80"/>
      </w:pPr>
      <w:r>
        <w:rPr>
          <w:rFonts w:ascii="Arial" w:cs="Arial" w:eastAsia="Arial" w:hAnsi="Arial"/>
          <w:b/>
          <w:bCs/>
          <w:color w:val="2E75B6"/>
          <w:sz w:val="26"/>
          <w:szCs w:val="26"/>
        </w:rPr>
        <w:t xml:space="preserve">3.2 Secondary Research Questions</w:t>
      </w:r>
    </w:p>
    <w:p>
      <w:pPr>
        <w:pStyle w:val="ListParagraph"/>
        <w:numPr>
          <w:ilvl w:val="0"/>
          <w:numId w:val="2"/>
        </w:numPr>
        <w:spacing w:before="40" w:after="40"/>
      </w:pPr>
      <w:r>
        <w:rPr>
          <w:rFonts w:ascii="Arial" w:cs="Arial" w:eastAsia="Arial" w:hAnsi="Arial"/>
          <w:sz w:val="22"/>
          <w:szCs w:val="22"/>
        </w:rPr>
        <w:t xml:space="preserve">To what extent can structured prompting strategies improve spatial attribute extraction from planning drawings compared to a zero-shot VLM baseline?</w:t>
      </w:r>
    </w:p>
    <w:p>
      <w:pPr>
        <w:pStyle w:val="ListParagraph"/>
        <w:numPr>
          <w:ilvl w:val="0"/>
          <w:numId w:val="2"/>
        </w:numPr>
        <w:spacing w:before="40" w:after="40"/>
      </w:pPr>
      <w:r>
        <w:rPr>
          <w:rFonts w:ascii="Arial" w:cs="Arial" w:eastAsia="Arial" w:hAnsi="Arial"/>
          <w:sz w:val="22"/>
          <w:szCs w:val="22"/>
        </w:rPr>
        <w:t xml:space="preserve">Does the addition of a Spatial Normative Knowledge Graph improve rule violation detection over an LLM-only approach that processes raw document text?</w:t>
      </w:r>
    </w:p>
    <w:p>
      <w:pPr>
        <w:pStyle w:val="ListParagraph"/>
        <w:numPr>
          <w:ilvl w:val="0"/>
          <w:numId w:val="2"/>
        </w:numPr>
        <w:spacing w:before="40" w:after="40"/>
      </w:pPr>
      <w:r>
        <w:rPr>
          <w:rFonts w:ascii="Arial" w:cs="Arial" w:eastAsia="Arial" w:hAnsi="Arial"/>
          <w:sz w:val="22"/>
          <w:szCs w:val="22"/>
        </w:rPr>
        <w:t xml:space="preserve">How does evidence reconciliation across heterogeneous sources affect the rate of contradictory and missing-evidence cases, and does it reduce false-negative violation detection?</w:t>
      </w:r>
    </w:p>
    <w:p>
      <w:pPr>
        <w:pStyle w:val="ListParagraph"/>
        <w:numPr>
          <w:ilvl w:val="0"/>
          <w:numId w:val="2"/>
        </w:numPr>
        <w:spacing w:before="40" w:after="40"/>
      </w:pPr>
      <w:r>
        <w:rPr>
          <w:rFonts w:ascii="Arial" w:cs="Arial" w:eastAsia="Arial" w:hAnsi="Arial"/>
          <w:sz w:val="22"/>
          <w:szCs w:val="22"/>
        </w:rPr>
        <w:t xml:space="preserve">How does confidence gating affect the precision-recall trade-off, and does the NOT_ASSESSABLE verdict class reduce dangerous missed-violation rates compared to forced PASS/FAIL evaluation?</w:t>
      </w:r>
    </w:p>
    <w:p>
      <w:pPr>
        <w:pStyle w:val="Heading2"/>
        <w:spacing w:before="240" w:after="80"/>
      </w:pPr>
      <w:r>
        <w:rPr>
          <w:rFonts w:ascii="Arial" w:cs="Arial" w:eastAsia="Arial" w:hAnsi="Arial"/>
          <w:b/>
          <w:bCs/>
          <w:color w:val="2E75B6"/>
          <w:sz w:val="26"/>
          <w:szCs w:val="26"/>
        </w:rPr>
        <w:t xml:space="preserve">3.3 Testable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24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Hypothesis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Direction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PlanProof pipeline achieves higher rule violation recall than the LLM-only baseline on the synthetic non-compliant test 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system &gt; baseline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H2</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Evidence reconciliation across multiple documents reduces the false-negative rate compared to single-source extraction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Reconciled &gt; single-source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VLM prompting achieves higher precision on spatial attribute extraction from annotated drawings than zero-shot prompting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&gt; zero-shot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H4</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Confidence gating + NOT_ASSESSABLE verdict reduces dangerous missed violations at the cost of higher human review rate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Safer but higher review rate</w:t>
            </w:r>
          </w:p>
        </w:tc>
      </w:tr>
    </w:tbl>
    <w:p>
      <w:r>
        <w:br w:type="page"/>
      </w:r>
    </w:p>
    <w:p>
      <w:pPr>
        <w:pStyle w:val="Heading1"/>
        <w:spacing w:before="360" w:after="120"/>
      </w:pPr>
      <w:r>
        <w:rPr>
          <w:rFonts w:ascii="Arial" w:cs="Arial" w:eastAsia="Arial" w:hAnsi="Arial"/>
          <w:b/>
          <w:bCs/>
          <w:color w:val="1F4E79"/>
          <w:sz w:val="32"/>
          <w:szCs w:val="32"/>
        </w:rPr>
        <w:t xml:space="preserve">4. Related Work and Literature Positioning</w:t>
      </w:r>
    </w:p>
    <w:p>
      <w:pPr>
        <w:pStyle w:val="Heading2"/>
        <w:spacing w:before="240" w:after="80"/>
      </w:pPr>
      <w:r>
        <w:rPr>
          <w:rFonts w:ascii="Arial" w:cs="Arial" w:eastAsia="Arial" w:hAnsi="Arial"/>
          <w:b/>
          <w:bCs/>
          <w:color w:val="2E75B6"/>
          <w:sz w:val="26"/>
          <w:szCs w:val="26"/>
        </w:rPr>
        <w:t xml:space="preserve">4.1 Regulatory Compliance Checking with NLP</w:t>
      </w:r>
    </w:p>
    <w:p>
      <w:pPr>
        <w:spacing w:before="80" w:after="80"/>
      </w:pPr>
      <w:r>
        <w:rPr>
          <w:rFonts w:ascii="Arial" w:cs="Arial" w:eastAsia="Arial" w:hAnsi="Arial"/>
          <w:sz w:val="22"/>
          <w:szCs w:val="22"/>
        </w:rPr>
        <w:t xml:space="preserve">NLP-based compliance checking has been demonstrated in adjacent domains. Sleimi et al. (2022) achieved 89.1% precision and 82.4% recall on GDPR Data Processing Agreement compliance using semantic frame representations, outperforming off-the-shelf NLP baselines by approximately 17-20 percentage points. Hashmi et al. (2020) formalised compliance patterns for regulatory documents using LegalRuleML. These works establish the feasibility of automated compliance checking but are limited to text-only, single-jurisdiction domains without spatial reasoning requirements.</w:t>
      </w:r>
    </w:p>
    <w:p>
      <w:pPr>
        <w:spacing w:before="80" w:after="80"/>
      </w:pPr>
      <w:r>
        <w:rPr>
          <w:rFonts w:ascii="Arial" w:cs="Arial" w:eastAsia="Arial" w:hAnsi="Arial"/>
          <w:sz w:val="22"/>
          <w:szCs w:val="22"/>
        </w:rPr>
        <w:t xml:space="preserve">In the built environment specifically, Pauwels et al. (2024, ScienceDirect) demonstrated NLP and semantic web approaches for UK building regulation compliance on a corpus of 420 regulatory documents, including automatic knowledge graph generation. This is the closest prior work to PlanProof in domain, but it does not address multi-document evidence reconciliation, spatial drawing analysis, or the NOT_ASSESSABLE verdict class.</w:t>
      </w:r>
    </w:p>
    <w:p>
      <w:pPr>
        <w:pStyle w:val="Heading2"/>
        <w:spacing w:before="240" w:after="80"/>
      </w:pPr>
      <w:r>
        <w:rPr>
          <w:rFonts w:ascii="Arial" w:cs="Arial" w:eastAsia="Arial" w:hAnsi="Arial"/>
          <w:b/>
          <w:bCs/>
          <w:color w:val="2E75B6"/>
          <w:sz w:val="26"/>
          <w:szCs w:val="26"/>
        </w:rPr>
        <w:t xml:space="preserve">4.2 Knowledge Graphs for Regulatory Reasoning</w:t>
      </w:r>
    </w:p>
    <w:p>
      <w:pPr>
        <w:spacing w:before="80" w:after="80"/>
      </w:pPr>
      <w:r>
        <w:rPr>
          <w:rFonts w:ascii="Arial" w:cs="Arial" w:eastAsia="Arial" w:hAnsi="Arial"/>
          <w:sz w:val="22"/>
          <w:szCs w:val="22"/>
        </w:rPr>
        <w:t xml:space="preserve">Knowledge graphs are increasingly recognised as the appropriate structure for regulatory compliance reasoning, where multi-hop relational queries — find all rules that govern this zone, given this building's attributes — are central. DeLong et al. (2024, IEEE) surveyed neurosymbolic AI for knowledge graph reasoning; Bein and Pufahl (BPM 2024) proposed knowledge graphs as a key technology for explainable process automation. Gartner (2024) placed GraphRAG on its generative AI hype cycle, noting its advantage in accuracy, reliability, and explainability over pure vector retrieval — precisely the properties required for planning compliance.</w:t>
      </w:r>
    </w:p>
    <w:p>
      <w:pPr>
        <w:spacing w:before="80" w:after="80"/>
      </w:pPr>
      <w:r>
        <w:rPr>
          <w:rFonts w:ascii="Arial" w:cs="Arial" w:eastAsia="Arial" w:hAnsi="Arial"/>
          <w:sz w:val="22"/>
          <w:szCs w:val="22"/>
        </w:rPr>
        <w:t xml:space="preserve">PlanProof extends this body of work by introducing a Spatial Normative Knowledge Graph that explicitly models geometry (polygon containment, buffer operations, constraint zone overlap) alongside regulatory entities, something not addressed in existing knowledge graph compliance literature.</w:t>
      </w:r>
    </w:p>
    <w:p>
      <w:pPr>
        <w:pStyle w:val="Heading2"/>
        <w:spacing w:before="240" w:after="80"/>
      </w:pPr>
      <w:r>
        <w:rPr>
          <w:rFonts w:ascii="Arial" w:cs="Arial" w:eastAsia="Arial" w:hAnsi="Arial"/>
          <w:b/>
          <w:bCs/>
          <w:color w:val="2E75B6"/>
          <w:sz w:val="26"/>
          <w:szCs w:val="26"/>
        </w:rPr>
        <w:t xml:space="preserve">4.3 VLMs for Technical Drawing Understanding</w:t>
      </w:r>
    </w:p>
    <w:p>
      <w:pPr>
        <w:spacing w:before="80" w:after="80"/>
      </w:pPr>
      <w:r>
        <w:rPr>
          <w:rFonts w:ascii="Arial" w:cs="Arial" w:eastAsia="Arial" w:hAnsi="Arial"/>
          <w:sz w:val="22"/>
          <w:szCs w:val="22"/>
        </w:rPr>
        <w:t xml:space="preserve">SpatialVLM (Chen et al., CVPR 2024) demonstrated that spatial reasoning limitations in VLMs stem primarily from training data rather than architectural constraints, and that fine-tuning on synthetic spatial QA data significantly improves quantitative spatial estimation. However, this work focuses on natural scene images with 3D point cloud grounding, not technical 2D architectural drawings with dimension annotations and scale bars. Label Your Data (2026) reports current VLM spatial reasoning accuracy at 50-60% — a known weakness that directly motivates PlanProof's staged VLM sub-experiment and confidence-gating approach.</w:t>
      </w:r>
    </w:p>
    <w:p>
      <w:pPr>
        <w:pStyle w:val="Heading2"/>
        <w:spacing w:before="240" w:after="80"/>
      </w:pPr>
      <w:r>
        <w:rPr>
          <w:rFonts w:ascii="Arial" w:cs="Arial" w:eastAsia="Arial" w:hAnsi="Arial"/>
          <w:b/>
          <w:bCs/>
          <w:color w:val="2E75B6"/>
          <w:sz w:val="26"/>
          <w:szCs w:val="26"/>
        </w:rPr>
        <w:t xml:space="preserve">4.4 Neurosymbolic Approaches and Evidence Sufficiency</w:t>
      </w:r>
    </w:p>
    <w:p>
      <w:pPr>
        <w:spacing w:before="80" w:after="80"/>
      </w:pPr>
      <w:r>
        <w:rPr>
          <w:rFonts w:ascii="Arial" w:cs="Arial" w:eastAsia="Arial" w:hAnsi="Arial"/>
          <w:sz w:val="22"/>
          <w:szCs w:val="22"/>
        </w:rPr>
        <w:t xml:space="preserve">Neurosymbolic AI for compliance has seen significant recent activity. The Stanford ComplianceTwin pilot (2024) applies neurosymbolic reasoning to overlapping EU regulatory frameworks. A 2025 systematic review (arXiv 2501.05435) identified that 63% of recent neurosymbolic research focuses on learning and inference, with knowledge representation as the second largest cluster. Neuro-symbolic compliance work (arXiv 2601.06181) demonstrates SMT constraint generation from legal documents, achieving formal verification of factual states against statutory provisions.</w:t>
      </w:r>
    </w:p>
    <w:p>
      <w:pPr>
        <w:spacing w:before="80" w:after="80"/>
      </w:pPr>
      <w:r>
        <w:rPr>
          <w:rFonts w:ascii="Arial" w:cs="Arial" w:eastAsia="Arial" w:hAnsi="Arial"/>
          <w:sz w:val="22"/>
          <w:szCs w:val="22"/>
        </w:rPr>
        <w:t xml:space="preserve">The evidence-sufficiency framing specifically — where the system must determine not just what a rule requires but whether current evidence is sufficient to evaluate it — is novel within this literature. The closest analogues are in medical AI (where systems must determine whether diagnostic evidence is sufficient before rendering a diagnosis) and financial compliance (where missing documentation triggers structured requests rather than forced verdicts). PlanProof adapts this reasoning pattern to the planning domain for the first time.</w:t>
      </w:r>
    </w:p>
    <w:p>
      <w:pPr>
        <w:pStyle w:val="Heading2"/>
        <w:spacing w:before="240" w:after="80"/>
      </w:pPr>
      <w:r>
        <w:rPr>
          <w:rFonts w:ascii="Arial" w:cs="Arial" w:eastAsia="Arial" w:hAnsi="Arial"/>
          <w:b/>
          <w:bCs/>
          <w:color w:val="2E75B6"/>
          <w:sz w:val="26"/>
          <w:szCs w:val="26"/>
        </w:rPr>
        <w:t xml:space="preserve">4.5 UK Planning AI: Policy and Practitioner Context</w:t>
      </w:r>
    </w:p>
    <w:p>
      <w:pPr>
        <w:spacing w:before="80" w:after="80"/>
      </w:pPr>
      <w:r>
        <w:rPr>
          <w:rFonts w:ascii="Arial" w:cs="Arial" w:eastAsia="Arial" w:hAnsi="Arial"/>
          <w:sz w:val="22"/>
          <w:szCs w:val="22"/>
        </w:rPr>
        <w:t xml:space="preserve">The UK government's recent contract with Google Cloud (awarded February 2026, Dezeen) to develop AI planning tools for local authorities confirms the timeliness of this research. That contract targets householder developments — the same application type covered by PlanProof's scope — and prioritises policy compliance assessment, citation generation, and decision reasoning. PlanProof is positioned as an academically rigorous proof-of-concept exploring the assessability dimension that production tools are unlikely to address in initial rollouts.</w:t>
      </w:r>
    </w:p>
    <w:p>
      <w:r>
        <w:br w:type="page"/>
      </w:r>
    </w:p>
    <w:p>
      <w:pPr>
        <w:pStyle w:val="Heading1"/>
        <w:spacing w:before="360" w:after="120"/>
      </w:pPr>
      <w:r>
        <w:rPr>
          <w:rFonts w:ascii="Arial" w:cs="Arial" w:eastAsia="Arial" w:hAnsi="Arial"/>
          <w:b/>
          <w:bCs/>
          <w:color w:val="1F4E79"/>
          <w:sz w:val="32"/>
          <w:szCs w:val="32"/>
        </w:rPr>
        <w:t xml:space="preserve">5. System Architecture</w:t>
      </w:r>
    </w:p>
    <w:p>
      <w:pPr>
        <w:pStyle w:val="Heading2"/>
        <w:spacing w:before="240" w:after="80"/>
      </w:pPr>
      <w:r>
        <w:rPr>
          <w:rFonts w:ascii="Arial" w:cs="Arial" w:eastAsia="Arial" w:hAnsi="Arial"/>
          <w:b/>
          <w:bCs/>
          <w:color w:val="2E75B6"/>
          <w:sz w:val="26"/>
          <w:szCs w:val="26"/>
        </w:rPr>
        <w:t xml:space="preserve">5.1 Design Philosophy</w:t>
      </w:r>
    </w:p>
    <w:p>
      <w:pPr>
        <w:spacing w:before="80" w:after="80"/>
      </w:pPr>
      <w:r>
        <w:rPr>
          <w:rFonts w:ascii="Arial" w:cs="Arial" w:eastAsia="Arial" w:hAnsi="Arial"/>
          <w:sz w:val="22"/>
          <w:szCs w:val="22"/>
        </w:rPr>
        <w:t xml:space="preserve">PlanProof is built on two design commitments. First, decisions must be auditable: every verdict must be traceable to a specific rule, a specific extracted value, and a specific source document. This rules out end-to-end probabilistic approaches for rule evaluation. Second, uncertainty must be surfaced, not hidden: where evidence is insufficient or contradictory, the system must say so explicitly rather than forcing a verdict on poor evidence.</w:t>
      </w:r>
    </w:p>
    <w:p>
      <w:pPr>
        <w:spacing w:before="80" w:after="80"/>
      </w:pPr>
      <w:r>
        <w:rPr>
          <w:rFonts w:ascii="Arial" w:cs="Arial" w:eastAsia="Arial" w:hAnsi="Arial"/>
          <w:sz w:val="22"/>
          <w:szCs w:val="22"/>
        </w:rPr>
        <w:t xml:space="preserve">These commitments motivate a modular, neurosymbolic architecture: neural methods (OCR, LLMs, VLMs) handle the unstructured-to-structured translation problem; symbolic methods (graph queries, deterministic rule evaluation, geometric operations) handle the rule evaluation problem; and a confidence-gating layer mediates between them.</w:t>
      </w:r>
    </w:p>
    <w:p>
      <w:pPr>
        <w:pStyle w:val="Heading2"/>
        <w:spacing w:before="240" w:after="80"/>
      </w:pPr>
      <w:r>
        <w:rPr>
          <w:rFonts w:ascii="Arial" w:cs="Arial" w:eastAsia="Arial" w:hAnsi="Arial"/>
          <w:b/>
          <w:bCs/>
          <w:color w:val="2E75B6"/>
          <w:sz w:val="26"/>
          <w:szCs w:val="26"/>
        </w:rPr>
        <w:t xml:space="preserve">5.2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Classification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each file to the correct processing pipeline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Rule-based classifier (text density, image features)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Text Extraction</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Extract planning entities from text-dominant documents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DocTR (OCR) + PyMuPDF + LLM structured extraction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VLM Pipeline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spatial attributes from architectural drawings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 / LLaVA-1.5 7B with LoRA (sub-experiment)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Unified Entity Representation</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Normalise all extracted entities into a common schema</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JSON schema with confidence annotations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Spatial Normative KG (SNKG)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entities, spatial geometry, and regulatory rules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 + Shapely (spatial ops)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Evidence Reconciliation Engine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Combine evidence across sources; detect conflict/agreement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 traversal + deterministic comparators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Assessability Engine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Determine if each rule can be evaluated; classify blocking reason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template matching + evidence graph queries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Normative Rule Engine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Evaluate rules deterministically where evidence is sufficient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dataclass rules with typed operators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Gating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 uncertain extractions from propagating to verdicts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Calibrated thresholds on confidence annotations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Compliance Scoring</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Aggregate rule verdicts into a structured compliance report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Weighted scoring with decomposable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 Evidence Request Generator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the smallest additional evidence set to unblock rules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Set-difference over rule evidence requirements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Decision Support Dashboard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Present results to planning officers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FastAPI + React + Leaflet.js</w:t>
            </w:r>
          </w:p>
        </w:tc>
      </w:tr>
    </w:tbl>
    <w:p>
      <w:pPr>
        <w:spacing w:before="120"/>
      </w:pPr>
    </w:p>
    <w:p>
      <w:pPr>
        <w:pStyle w:val="Heading2"/>
        <w:spacing w:before="240" w:after="80"/>
      </w:pPr>
      <w:r>
        <w:rPr>
          <w:rFonts w:ascii="Arial" w:cs="Arial" w:eastAsia="Arial" w:hAnsi="Arial"/>
          <w:b/>
          <w:bCs/>
          <w:color w:val="2E75B6"/>
          <w:sz w:val="26"/>
          <w:szCs w:val="26"/>
        </w:rPr>
        <w:t xml:space="preserve">5.3 The Assessability Engine: Core Novelty</w:t>
      </w:r>
    </w:p>
    <w:p>
      <w:pPr>
        <w:spacing w:before="80" w:after="80"/>
      </w:pPr>
      <w:r>
        <w:rPr>
          <w:rFonts w:ascii="Arial" w:cs="Arial" w:eastAsia="Arial" w:hAnsi="Arial"/>
          <w:sz w:val="22"/>
          <w:szCs w:val="22"/>
        </w:rPr>
        <w:t xml:space="preserve">For each planning rule in the knowledge graph, a rule template specifies its evidence requirements: which attributes are needed, from which acceptable source types, and what spatial grounding conditions must hold. The assessability engine queries the evidence graph and returns one of three outcomes:</w:t>
      </w:r>
    </w:p>
    <w:p>
      <w:pPr>
        <w:pStyle w:val="ListParagraph"/>
        <w:numPr>
          <w:ilvl w:val="0"/>
          <w:numId w:val="2"/>
        </w:numPr>
        <w:spacing w:before="40" w:after="40"/>
      </w:pPr>
      <w:r>
        <w:rPr>
          <w:rFonts w:ascii="Arial" w:cs="Arial" w:eastAsia="Arial" w:hAnsi="Arial"/>
          <w:sz w:val="22"/>
          <w:szCs w:val="22"/>
        </w:rPr>
        <w:t xml:space="preserve">ASSESSABLE — sufficient, consistent evidence exists; the rule engine proceeds to evaluation</w:t>
      </w:r>
    </w:p>
    <w:p>
      <w:pPr>
        <w:pStyle w:val="ListParagraph"/>
        <w:numPr>
          <w:ilvl w:val="0"/>
          <w:numId w:val="2"/>
        </w:numPr>
        <w:spacing w:before="40" w:after="40"/>
      </w:pPr>
      <w:r>
        <w:rPr>
          <w:rFonts w:ascii="Arial" w:cs="Arial" w:eastAsia="Arial" w:hAnsi="Arial"/>
          <w:sz w:val="22"/>
          <w:szCs w:val="22"/>
        </w:rPr>
        <w:t xml:space="preserve">NOT_ASSESSABLE (missing evidence) — one or more required attributes are absent; the minimum evidence request generator identifies the specific documents or measurements needed</w:t>
      </w:r>
    </w:p>
    <w:p>
      <w:pPr>
        <w:pStyle w:val="ListParagraph"/>
        <w:numPr>
          <w:ilvl w:val="0"/>
          <w:numId w:val="2"/>
        </w:numPr>
        <w:spacing w:before="40" w:after="40"/>
      </w:pPr>
      <w:r>
        <w:rPr>
          <w:rFonts w:ascii="Arial" w:cs="Arial" w:eastAsia="Arial" w:hAnsi="Arial"/>
          <w:sz w:val="22"/>
          <w:szCs w:val="22"/>
        </w:rPr>
        <w:t xml:space="preserve">NOT_ASSESSABLE (conflicting evidence) — two or more sources provide materially different values for the same attribute; the conflict is flagged with source provenance for human review</w:t>
      </w:r>
    </w:p>
    <w:p>
      <w:pPr>
        <w:spacing w:before="80" w:after="80"/>
      </w:pPr>
      <w:r>
        <w:rPr>
          <w:rFonts w:ascii="Arial" w:cs="Arial" w:eastAsia="Arial" w:hAnsi="Arial"/>
          <w:sz w:val="22"/>
          <w:szCs w:val="22"/>
        </w:rPr>
        <w:t xml:space="preserve">This extends the traditional PASS/FAIL/UNCLEAR verdict space with a formally motivated refusal-to-evaluate outcome that mirrors real planning officer behaviour. The minimum evidence request output transforms this refusal into actionable guidance.</w:t>
      </w:r>
    </w:p>
    <w:p>
      <w:pPr>
        <w:pStyle w:val="Heading2"/>
        <w:spacing w:before="240" w:after="80"/>
      </w:pPr>
      <w:r>
        <w:rPr>
          <w:rFonts w:ascii="Arial" w:cs="Arial" w:eastAsia="Arial" w:hAnsi="Arial"/>
          <w:b/>
          <w:bCs/>
          <w:color w:val="2E75B6"/>
          <w:sz w:val="26"/>
          <w:szCs w:val="26"/>
        </w:rPr>
        <w:t xml:space="preserve">5.4 Spatial Normative Knowledge Graph</w:t>
      </w:r>
    </w:p>
    <w:p>
      <w:pPr>
        <w:spacing w:before="80" w:after="80"/>
      </w:pPr>
      <w:r>
        <w:rPr>
          <w:rFonts w:ascii="Arial" w:cs="Arial" w:eastAsia="Arial" w:hAnsi="Arial"/>
          <w:sz w:val="22"/>
          <w:szCs w:val="22"/>
        </w:rPr>
        <w:t xml:space="preserve">The SNKG models: Building nodes (proposed development attributes), LandParcel nodes (site boundary geometries), ZoneCategory nodes (residential, conservation area, flood zone), Policy nodes (NPPF, BCC Local Plan), Rule nodes (specific constraints derived from policy), and Evidence nodes (extracted values with source provenance and confidence). Edges encode LOCATED_WITHIN, GOVERNED_BY, APPLIES_TO, DERIVED_FROM, and SUPPORTED_BY relationships.</w:t>
      </w:r>
    </w:p>
    <w:p>
      <w:pPr>
        <w:spacing w:before="80" w:after="80"/>
      </w:pPr>
      <w:r>
        <w:rPr>
          <w:rFonts w:ascii="Arial" w:cs="Arial" w:eastAsia="Arial" w:hAnsi="Arial"/>
          <w:sz w:val="22"/>
          <w:szCs w:val="22"/>
        </w:rPr>
        <w:t xml:space="preserve">Spatial operations (polygon containment, setback buffer intersection, constraint zone overlap) are computed via Shapely locally, with results stored as attributes on graph edges. This approach is compatible with AuraDB Free, which lacks the Neo4j Spatial plugin.</w:t>
      </w:r>
    </w:p>
    <w:p>
      <w:r>
        <w:br w:type="page"/>
      </w:r>
    </w:p>
    <w:p>
      <w:pPr>
        <w:pStyle w:val="Heading1"/>
        <w:spacing w:before="360" w:after="120"/>
      </w:pPr>
      <w:r>
        <w:rPr>
          <w:rFonts w:ascii="Arial" w:cs="Arial" w:eastAsia="Arial" w:hAnsi="Arial"/>
          <w:b/>
          <w:bCs/>
          <w:color w:val="1F4E79"/>
          <w:sz w:val="32"/>
          <w:szCs w:val="32"/>
        </w:rPr>
        <w:t xml:space="preserve">6. In-Scope Compliance Checks</w:t>
      </w:r>
    </w:p>
    <w:p>
      <w:pPr>
        <w:spacing w:before="80" w:after="80"/>
      </w:pPr>
      <w:r>
        <w:rPr>
          <w:rFonts w:ascii="Arial" w:cs="Arial" w:eastAsia="Arial" w:hAnsi="Arial"/>
          <w:sz w:val="22"/>
          <w:szCs w:val="22"/>
        </w:rPr>
        <w:t xml:space="preserve">Four compliance checks are in scope, selected for their coverage of distinct validation types (form-level, cross-document, spatial, and comparative) and for the availability of ground truth from BCC application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60"/>
        <w:gridCol w:w="2760"/>
        <w:gridCol w:w="244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 Required</w:t>
            </w:r>
          </w:p>
        </w:tc>
        <w:tc>
          <w:tcPr>
            <w:tcW w:type="dxa" w:w="2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Assessability Challenge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C1: Certificate Type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Certificate A or B was submitted and is the correct type given ownership structure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Ownership declaration + certificate form</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Certificate may be absent or use class ambiguous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C2: Address Consistency</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address on application form matches address on architectural drawing (postcode level)</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Form address + drawing title block</w:t>
            </w:r>
          </w:p>
        </w:tc>
        <w:tc>
          <w:tcPr>
            <w:tcW w:type="dxa" w:w="2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Drawing title block may be unreadable or absent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 Boundary Validation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site boundary on plan matches real-world parcel geometry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plan polygon + OS/Land Registry parcel data</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Drawing scale may be unspecified; boundary may be hand-drawn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C4: Plan Change Detection</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Compare proposed drawings against previously approved drawings; highlight material changes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Proposed plan + approved plan (both in document bundle)</w:t>
            </w:r>
          </w:p>
        </w:tc>
        <w:tc>
          <w:tcPr>
            <w:tcW w:type="dxa" w:w="2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Approved plan may lack dimension annotations</w:t>
            </w:r>
          </w:p>
        </w:tc>
      </w:tr>
    </w:tbl>
    <w:p>
      <w:r>
        <w:br w:type="page"/>
      </w:r>
    </w:p>
    <w:p>
      <w:pPr>
        <w:pStyle w:val="Heading1"/>
        <w:spacing w:before="360" w:after="120"/>
      </w:pPr>
      <w:r>
        <w:rPr>
          <w:rFonts w:ascii="Arial" w:cs="Arial" w:eastAsia="Arial" w:hAnsi="Arial"/>
          <w:b/>
          <w:bCs/>
          <w:color w:val="1F4E79"/>
          <w:sz w:val="32"/>
          <w:szCs w:val="32"/>
        </w:rPr>
        <w:t xml:space="preserve">7. VLM Sub-Experiment Design</w:t>
      </w:r>
    </w:p>
    <w:p>
      <w:pPr>
        <w:spacing w:before="80" w:after="80"/>
      </w:pPr>
      <w:r>
        <w:rPr>
          <w:rFonts w:ascii="Arial" w:cs="Arial" w:eastAsia="Arial" w:hAnsi="Arial"/>
          <w:sz w:val="22"/>
          <w:szCs w:val="22"/>
        </w:rPr>
        <w:t xml:space="preserve">Rather than claiming to solve VLM performance on architectural drawings generally, this module investigates a bounded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6"/>
              <w:bottom w:val="single" w:color="2E75B6" w:sz="4"/>
              <w:right w:val="none"/>
            </w:tcBorders>
            <w:shd w:fill="EBF3FB" w:val="clear"/>
            <w:tcMar>
              <w:top w:type="dxa" w:w="120"/>
              <w:left w:type="dxa" w:w="160"/>
              <w:bottom w:type="dxa" w:w="120"/>
              <w:right w:type="dxa" w:w="160"/>
            </w:tcMar>
          </w:tcPr>
          <w:p>
            <w:r>
              <w:rPr>
                <w:rFonts w:ascii="Arial" w:cs="Arial" w:eastAsia="Arial" w:hAnsi="Arial"/>
                <w:i/>
                <w:iCs/>
                <w:sz w:val="21"/>
                <w:szCs w:val="21"/>
              </w:rPr>
              <w:t xml:space="preserve">To what extent can structured prompting strategies improve spatial attribute extraction accuracy from planning drawings compared to a zero-shot VLM baseline, and what is the residual uncertainty that confidence gating must handle?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1: Zero-shot baseline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drawing image to GPT-4o with minimal prompt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 / Recall vs. ground truth annotations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Stage 2: Structured prompting</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Specify exact attributes, dimension annotation cues, JSON output, few-shot example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Improvement over Stage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3 (stretch): LoRA fine-tuning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Fine-tune LLaVA-1.5 7B on annotated synthetic drawings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Improvement over Stage 2; compute feasibility on Kaggle P100</w:t>
            </w:r>
          </w:p>
        </w:tc>
      </w:tr>
    </w:tbl>
    <w:p>
      <w:pPr>
        <w:spacing w:before="120"/>
      </w:pPr>
    </w:p>
    <w:p>
      <w:pPr>
        <w:spacing w:before="80" w:after="80"/>
      </w:pPr>
      <w:r>
        <w:rPr>
          <w:rFonts w:ascii="Arial" w:cs="Arial" w:eastAsia="Arial" w:hAnsi="Arial"/>
          <w:sz w:val="22"/>
          <w:szCs w:val="22"/>
        </w:rPr>
        <w:t xml:space="preserve">Ground truth is established by manually annotating 20-30 drawings from the BCC application sets. This annotation set serves all three stages. Stage 3 is a stretch goal contingent on annotation volume and GPU availability.</w:t>
      </w:r>
    </w:p>
    <w:p>
      <w:pPr>
        <w:spacing w:before="80" w:after="80"/>
      </w:pPr>
      <w:r>
        <w:rPr>
          <w:rFonts w:ascii="Arial" w:cs="Arial" w:eastAsia="Arial" w:hAnsi="Arial"/>
          <w:sz w:val="22"/>
          <w:szCs w:val="22"/>
        </w:rPr>
        <w:t xml:space="preserve">Critically, the sub-experiment produces a valid dissertation finding regardless of outcome: either structured prompting significantly improves extraction (supporting H3 and motivating further VLM domain fine-tuning), or it does not (validating the importance of confidence gating and the NOT_ASSESSABLE pathway as essential mitigations for current VLM limitations on technical drawings).</w:t>
      </w:r>
    </w:p>
    <w:p>
      <w:r>
        <w:br w:type="page"/>
      </w:r>
    </w:p>
    <w:p>
      <w:pPr>
        <w:pStyle w:val="Heading1"/>
        <w:spacing w:before="360" w:after="120"/>
      </w:pPr>
      <w:r>
        <w:rPr>
          <w:rFonts w:ascii="Arial" w:cs="Arial" w:eastAsia="Arial" w:hAnsi="Arial"/>
          <w:b/>
          <w:bCs/>
          <w:color w:val="1F4E79"/>
          <w:sz w:val="32"/>
          <w:szCs w:val="32"/>
        </w:rPr>
        <w:t xml:space="preserve">8. Dataset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900"/>
        <w:gridCol w:w="1300"/>
        <w:gridCol w:w="4400"/>
      </w:tblGrid>
      <w:tr>
        <w:trPr>
          <w:tblHeader/>
        </w:trPr>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Documents</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BCC application sets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development, annotation, evaluation grounding</w:t>
            </w:r>
          </w:p>
        </w:tc>
      </w:tr>
      <w:tr>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Synthetic — compliant variations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~120</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False positive testing; extraction robustness</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Synthetic — non-compliant (R001-R003)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engine validation; known violation ground truth</w:t>
            </w:r>
          </w:p>
        </w:tc>
      </w:tr>
      <w:tr>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Synthetic — edge cases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Pipeline robustness; partial/conflicting evidence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target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before="120"/>
      </w:pPr>
    </w:p>
    <w:p>
      <w:pPr>
        <w:spacing w:before="80" w:after="80"/>
      </w:pPr>
      <w:r>
        <w:rPr>
          <w:rFonts w:ascii="Arial" w:cs="Arial" w:eastAsia="Arial" w:hAnsi="Arial"/>
          <w:sz w:val="22"/>
          <w:szCs w:val="22"/>
        </w:rPr>
        <w:t xml:space="preserve">Synthetic generation is violation-matrix-driven: for each rule (R001 max height 8m, R002 min rear garden 10m, R003 max site coverage 50%), violations are systematically introduced with known ground truth labels. This is the most critical dataset category because it is the only source of ground truth for rule engine validation.</w:t>
      </w:r>
    </w:p>
    <w:p>
      <w:pPr>
        <w:spacing w:before="80" w:after="80"/>
      </w:pPr>
      <w:r>
        <w:rPr>
          <w:rFonts w:ascii="Arial" w:cs="Arial" w:eastAsia="Arial" w:hAnsi="Arial"/>
          <w:sz w:val="22"/>
          <w:szCs w:val="22"/>
        </w:rPr>
        <w:t xml:space="preserve">All real BCC data is treated under a PII anonymisation protocol (names, addresses anonymised before annotation). A reproducible train/validation/test split is implemented with seeded random assignment and MD5 file hashing to seal the test set.</w:t>
      </w:r>
    </w:p>
    <w:p>
      <w:r>
        <w:br w:type="page"/>
      </w:r>
    </w:p>
    <w:p>
      <w:pPr>
        <w:pStyle w:val="Heading1"/>
        <w:spacing w:before="360" w:after="120"/>
      </w:pPr>
      <w:r>
        <w:rPr>
          <w:rFonts w:ascii="Arial" w:cs="Arial" w:eastAsia="Arial" w:hAnsi="Arial"/>
          <w:b/>
          <w:bCs/>
          <w:color w:val="1F4E79"/>
          <w:sz w:val="32"/>
          <w:szCs w:val="32"/>
        </w:rPr>
        <w:t xml:space="preserve">9. Experimental Design and Evaluation</w:t>
      </w:r>
    </w:p>
    <w:p>
      <w:pPr>
        <w:pStyle w:val="Heading2"/>
        <w:spacing w:before="240" w:after="80"/>
      </w:pPr>
      <w:r>
        <w:rPr>
          <w:rFonts w:ascii="Arial" w:cs="Arial" w:eastAsia="Arial" w:hAnsi="Arial"/>
          <w:b/>
          <w:bCs/>
          <w:color w:val="2E75B6"/>
          <w:sz w:val="26"/>
          <w:szCs w:val="26"/>
        </w:rPr>
        <w:t xml:space="preserve">9.1 Baseline</w:t>
      </w:r>
    </w:p>
    <w:p>
      <w:pPr>
        <w:spacing w:before="80" w:after="80"/>
      </w:pPr>
      <w:r>
        <w:rPr>
          <w:rFonts w:ascii="Arial" w:cs="Arial" w:eastAsia="Arial" w:hAnsi="Arial"/>
          <w:sz w:val="22"/>
          <w:szCs w:val="22"/>
        </w:rPr>
        <w:t xml:space="preserve">The LLM-only baseline concatenates raw OCR text from all documents in an application set and passes it to GPT-4o with a compliance-checking prompt listing the applicable rules. No knowledge graph, no evidence reconciliation, no spatial analysis. This represents the naive integration approach and isolates the contribution of the full pipeline.</w:t>
      </w:r>
    </w:p>
    <w:p>
      <w:pPr>
        <w:pStyle w:val="Heading2"/>
        <w:spacing w:before="240" w:after="80"/>
      </w:pPr>
      <w:r>
        <w:rPr>
          <w:rFonts w:ascii="Arial" w:cs="Arial" w:eastAsia="Arial" w:hAnsi="Arial"/>
          <w:b/>
          <w:bCs/>
          <w:color w:val="2E75B6"/>
          <w:sz w:val="26"/>
          <w:szCs w:val="26"/>
        </w:rPr>
        <w:t xml:space="preserve">9.2 Ablation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Active Components</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Isolates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LLM-only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point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Ablation A</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Text extraction + SNKG (no rule engine)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KG contribution alone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Ablation 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Text extraction + rule engine (no SNKG)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engine without relational graph context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Ablation C</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pipeline minus confidence gating</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Gating contribution to precision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Ablation 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pipeline minus assessability engine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NOT_ASSESSABLE verdict contribution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system</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components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Combined contribution</w:t>
            </w:r>
          </w:p>
        </w:tc>
      </w:tr>
    </w:tbl>
    <w:p>
      <w:pPr>
        <w:spacing w:before="120"/>
      </w:pPr>
    </w:p>
    <w:p>
      <w:pPr>
        <w:pStyle w:val="Heading2"/>
        <w:spacing w:before="240" w:after="80"/>
      </w:pPr>
      <w:r>
        <w:rPr>
          <w:rFonts w:ascii="Arial" w:cs="Arial" w:eastAsia="Arial" w:hAnsi="Arial"/>
          <w:b/>
          <w:bCs/>
          <w:color w:val="2E75B6"/>
          <w:sz w:val="26"/>
          <w:szCs w:val="26"/>
        </w:rPr>
        <w:t xml:space="preserve">9.3 Metrics</w:t>
      </w:r>
    </w:p>
    <w:p>
      <w:pPr>
        <w:spacing w:before="80" w:after="80"/>
      </w:pPr>
      <w:r>
        <w:rPr>
          <w:rFonts w:ascii="Arial" w:cs="Arial" w:eastAsia="Arial" w:hAnsi="Arial"/>
          <w:sz w:val="22"/>
          <w:szCs w:val="22"/>
        </w:rPr>
        <w:t xml:space="preserve">Primary metric: Rule violation recall on the synthetic non-compliant test set (proportion of known violations correctly detected). Recall is primary because missed violations are the highest-risk failure mode.</w:t>
      </w:r>
    </w:p>
    <w:p>
      <w:pPr>
        <w:spacing w:before="80" w:after="80"/>
      </w:pPr>
      <w:r>
        <w:rPr>
          <w:rFonts w:ascii="Arial" w:cs="Arial" w:eastAsia="Arial" w:hAnsi="Arial"/>
          <w:sz w:val="22"/>
          <w:szCs w:val="22"/>
        </w:rPr>
        <w:t xml:space="preserve">Supporting metrics: Precision (false positive rate), F2 score (recall-weighted), automation rate (proportion of rules auto-evaluated vs. routed to review), assessability rate (proportion of rules returning NOT_ASSESSABLE and why), evidence consistency score (cross-document agreement rate), and minimum evidence request quality (assessed qualitatively against annotator judgement).</w:t>
      </w:r>
    </w:p>
    <w:p>
      <w:r>
        <w:br w:type="page"/>
      </w:r>
    </w:p>
    <w:p>
      <w:pPr>
        <w:pStyle w:val="Heading1"/>
        <w:spacing w:before="360" w:after="120"/>
      </w:pPr>
      <w:r>
        <w:rPr>
          <w:rFonts w:ascii="Arial" w:cs="Arial" w:eastAsia="Arial" w:hAnsi="Arial"/>
          <w:b/>
          <w:bCs/>
          <w:color w:val="1F4E79"/>
          <w:sz w:val="32"/>
          <w:szCs w:val="32"/>
        </w:rPr>
        <w:t xml:space="preserve">10.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Infrastructure &amp; Data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 setup, synthetic dataset generation, annotation projects (Label Studio), test set sealing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2: Text Pipeline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4-6</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DocTR + PyMuPDF OCR, LLM entity extraction, unified schema, address cross-matching (C1, C2)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Knowledge Graph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SNKG model, population pipeline, Cypher query library, evidence graph</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4: Rule Engine &amp; Evidence Reconciliation</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9-10</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 encoding (R001-R003), deterministic evaluator, reconciliation engine, conflict detection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Assessability Engine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template definitions, assessability classifier, min evidence request generator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6: VLM Sub-Experiment</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12-13</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Zero-shot baseline, structured prompting, evaluation (Stage 3 if feasible)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7: Spatial Validation &amp; Scoring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Shapely geometry ops, boundary validation (C3), plan comparison (C4), compliance scoring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8: Dashboard &amp; Integration</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15-16</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FastAPI backend, React dashboard, end-to-end integration 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9: Ablation Study &amp; Evaluation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17-18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ablation, baseline comparison, metric computation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10: Write-up</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19-21</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Dissertation chapters, figures, appendices</w:t>
            </w:r>
          </w:p>
        </w:tc>
      </w:tr>
    </w:tbl>
    <w:p>
      <w:r>
        <w:br w:type="page"/>
      </w:r>
    </w:p>
    <w:p>
      <w:pPr>
        <w:pStyle w:val="Heading1"/>
        <w:spacing w:before="360" w:after="120"/>
      </w:pPr>
      <w:r>
        <w:rPr>
          <w:rFonts w:ascii="Arial" w:cs="Arial" w:eastAsia="Arial" w:hAnsi="Arial"/>
          <w:b/>
          <w:bCs/>
          <w:color w:val="1F4E79"/>
          <w:sz w:val="32"/>
          <w:szCs w:val="32"/>
        </w:rP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800"/>
        <w:gridCol w:w="4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VLM extraction too inaccurate for spatial attributes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gating routes failures to NOT_ASSESSABLE; result is a valid sub-experiment finding regardless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Evidence reconciliation logic more complex than anticipated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Scope reconciliation to pairwise agreement checking initially; extend to multi-source if time permits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Synthetic generation slower than planned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Prioritise non-compliant set first — it is the critical evaluation dataset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AuraDB Free spatial limitations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Shapely handles all spatial ops locally; only results stored in graph — architecture already accounts for this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Annotation bottleneck for VLM ground truth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viable annotation set is 15 drawings; reduce to this floor if needed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LLM API costs during ablation</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 Mistral or LLaMA 3 for baseline to control cost</w:t>
            </w:r>
          </w:p>
        </w:tc>
      </w:tr>
    </w:tbl>
    <w:p>
      <w:r>
        <w:br w:type="page"/>
      </w:r>
    </w:p>
    <w:p>
      <w:pPr>
        <w:pStyle w:val="Heading1"/>
        <w:spacing w:before="360" w:after="120"/>
      </w:pPr>
      <w:r>
        <w:rPr>
          <w:rFonts w:ascii="Arial" w:cs="Arial" w:eastAsia="Arial" w:hAnsi="Arial"/>
          <w:b/>
          <w:bCs/>
          <w:color w:val="1F4E79"/>
          <w:sz w:val="32"/>
          <w:szCs w:val="32"/>
        </w:rPr>
        <w:t xml:space="preserve">12. Research Contributions</w:t>
      </w:r>
    </w:p>
    <w:p>
      <w:pPr>
        <w:spacing w:before="80" w:after="80"/>
      </w:pPr>
      <w:r>
        <w:rPr>
          <w:rFonts w:ascii="Arial" w:cs="Arial" w:eastAsia="Arial" w:hAnsi="Arial"/>
          <w:sz w:val="22"/>
          <w:szCs w:val="22"/>
        </w:rPr>
        <w:t xml:space="preserve">PlanProof makes four distinct research contributions to the planning AI and regulatory compliance literature:</w:t>
      </w:r>
    </w:p>
    <w:p>
      <w:pPr>
        <w:spacing w:before="120" w:after="40"/>
      </w:pPr>
      <w:r>
        <w:rPr>
          <w:rFonts w:ascii="Arial" w:cs="Arial" w:eastAsia="Arial" w:hAnsi="Arial"/>
          <w:b/>
          <w:bCs/>
          <w:color w:val="2E75B6"/>
          <w:sz w:val="22"/>
          <w:szCs w:val="22"/>
        </w:rPr>
        <w:t xml:space="preserve">1. Assessability-Aware Rule Evaluation</w:t>
      </w:r>
    </w:p>
    <w:p>
      <w:pPr>
        <w:spacing w:before="80" w:after="80"/>
      </w:pPr>
      <w:r>
        <w:rPr>
          <w:rFonts w:ascii="Arial" w:cs="Arial" w:eastAsia="Arial" w:hAnsi="Arial"/>
          <w:sz w:val="22"/>
          <w:szCs w:val="22"/>
        </w:rPr>
        <w:t xml:space="preserve">The NOT_ASSESSABLE verdict class and its formal decomposition into missing-evidence and conflicting-evidence subcases. This is the first formalisation of assessability as a planning compliance outcome, grounding the well-known practitioner behaviour of returning incomplete submissions in a computational framework.</w:t>
      </w:r>
    </w:p>
    <w:p>
      <w:pPr>
        <w:spacing w:before="120" w:after="40"/>
      </w:pPr>
      <w:r>
        <w:rPr>
          <w:rFonts w:ascii="Arial" w:cs="Arial" w:eastAsia="Arial" w:hAnsi="Arial"/>
          <w:b/>
          <w:bCs/>
          <w:color w:val="2E75B6"/>
          <w:sz w:val="22"/>
          <w:szCs w:val="22"/>
        </w:rPr>
        <w:t xml:space="preserve">2. Minimum Evidence Request Generation</w:t>
      </w:r>
    </w:p>
    <w:p>
      <w:pPr>
        <w:spacing w:before="80" w:after="80"/>
      </w:pPr>
      <w:r>
        <w:rPr>
          <w:rFonts w:ascii="Arial" w:cs="Arial" w:eastAsia="Arial" w:hAnsi="Arial"/>
          <w:sz w:val="22"/>
          <w:szCs w:val="22"/>
        </w:rPr>
        <w:t xml:space="preserve">A mechanism that computes the smallest additional evidence set needed to make a currently unassessable rule evaluable. This transforms a refusal-to-evaluate into actionable guidance, directly supporting the submission triage and clarification workflows used by local planning authorities.</w:t>
      </w:r>
    </w:p>
    <w:p>
      <w:pPr>
        <w:spacing w:before="120" w:after="40"/>
      </w:pPr>
      <w:r>
        <w:rPr>
          <w:rFonts w:ascii="Arial" w:cs="Arial" w:eastAsia="Arial" w:hAnsi="Arial"/>
          <w:b/>
          <w:bCs/>
          <w:color w:val="2E75B6"/>
          <w:sz w:val="22"/>
          <w:szCs w:val="22"/>
        </w:rPr>
        <w:t xml:space="preserve">3. Spatial Normative Knowledge Graph</w:t>
      </w:r>
    </w:p>
    <w:p>
      <w:pPr>
        <w:spacing w:before="80" w:after="80"/>
      </w:pPr>
      <w:r>
        <w:rPr>
          <w:rFonts w:ascii="Arial" w:cs="Arial" w:eastAsia="Arial" w:hAnsi="Arial"/>
          <w:sz w:val="22"/>
          <w:szCs w:val="22"/>
        </w:rPr>
        <w:t xml:space="preserve">A graph model that integrates planning entity attributes, spatial geometry, and regulatory rules in a single queryable structure. The SNKG enables multi-hop compliance queries that are impractical in relational databases and cannot be expressed in vector similarity search.</w:t>
      </w:r>
    </w:p>
    <w:p>
      <w:pPr>
        <w:spacing w:before="120" w:after="40"/>
      </w:pPr>
      <w:r>
        <w:rPr>
          <w:rFonts w:ascii="Arial" w:cs="Arial" w:eastAsia="Arial" w:hAnsi="Arial"/>
          <w:b/>
          <w:bCs/>
          <w:color w:val="2E75B6"/>
          <w:sz w:val="22"/>
          <w:szCs w:val="22"/>
        </w:rPr>
        <w:t xml:space="preserve">4. Staged VLM Sub-Experiment for Technical Drawings</w:t>
      </w:r>
    </w:p>
    <w:p>
      <w:pPr>
        <w:spacing w:before="80" w:after="80"/>
      </w:pPr>
      <w:r>
        <w:rPr>
          <w:rFonts w:ascii="Arial" w:cs="Arial" w:eastAsia="Arial" w:hAnsi="Arial"/>
          <w:sz w:val="22"/>
          <w:szCs w:val="22"/>
        </w:rPr>
        <w:t xml:space="preserve">A controlled three-stage experiment measuring VLM spatial extraction accuracy at increasing prompt engineering sophistication, producing a reproducible baseline for architectural drawing understanding that the research community can build on.</w:t>
      </w:r>
    </w:p>
    <w:p>
      <w:pPr>
        <w:pBdr>
          <w:bottom w:val="single" w:color="2E75B6" w:sz="6" w:space="1"/>
        </w:pBdr>
        <w:spacing w:before="120" w:after="120"/>
      </w:pPr>
    </w:p>
    <w:p>
      <w:pPr>
        <w:spacing w:before="80" w:after="80"/>
      </w:pPr>
      <w:r>
        <w:rPr>
          <w:rFonts w:ascii="Arial" w:cs="Arial" w:eastAsia="Arial" w:hAnsi="Arial"/>
          <w:b w:val="false"/>
          <w:bCs w:val="false"/>
          <w:sz w:val="22"/>
          <w:szCs w:val="22"/>
        </w:rPr>
        <w:t xml:space="preserve">Together, these contributions advance the state of the art in planning AI from extraction-and-evaluate systems toward assessability-aware, uncertainty-surfacing decision support — a distinction with significant practical consequences for the reliability of automated planning assistance.</w:t>
      </w:r>
    </w:p>
    <w:p>
      <w:r>
        <w:br w:type="page"/>
      </w:r>
    </w:p>
    <w:p>
      <w:pPr>
        <w:pStyle w:val="Heading1"/>
        <w:spacing w:before="360" w:after="120"/>
      </w:pPr>
      <w:r>
        <w:rPr>
          <w:rFonts w:ascii="Arial" w:cs="Arial" w:eastAsia="Arial" w:hAnsi="Arial"/>
          <w:b/>
          <w:bCs/>
          <w:color w:val="1F4E79"/>
          <w:sz w:val="32"/>
          <w:szCs w:val="32"/>
        </w:rPr>
        <w:t xml:space="preserve">13. Scope and Explicit Exclusions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Excluded Item</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IFC / BIM file parsing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Specialist geometry processing; standalone research area beyond dissertation scope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Production-quality CV for complex drawings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Addressed as bounded sub-experiment; not claimed as a solved problem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agreement with planning officer decisions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 truth acquisition requires formal council partnership and ethics approval beyond timeline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Multi-jurisdiction regulatory frameworks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Scoped to NPPF and BCC Local Development Framework only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council API integration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Previously approved plans treated as bundled documents; simplifies architecture without losing research contribution</w:t>
            </w:r>
          </w:p>
        </w:tc>
      </w:tr>
    </w:tbl>
    <w:p>
      <w:pPr>
        <w:spacing w:before="200"/>
      </w:pPr>
    </w:p>
    <w:p>
      <w:pPr>
        <w:pStyle w:val="Heading1"/>
        <w:spacing w:before="360" w:after="120"/>
      </w:pPr>
      <w:r>
        <w:rPr>
          <w:rFonts w:ascii="Arial" w:cs="Arial" w:eastAsia="Arial" w:hAnsi="Arial"/>
          <w:b/>
          <w:bCs/>
          <w:color w:val="1F4E79"/>
          <w:sz w:val="32"/>
          <w:szCs w:val="32"/>
        </w:rPr>
        <w:t xml:space="preserve">14. Key References</w:t>
      </w:r>
    </w:p>
    <w:p>
      <w:pPr>
        <w:spacing w:before="80" w:after="80"/>
      </w:pPr>
      <w:r>
        <w:rPr>
          <w:rFonts w:ascii="Arial" w:cs="Arial" w:eastAsia="Arial" w:hAnsi="Arial"/>
          <w:sz w:val="22"/>
          <w:szCs w:val="22"/>
        </w:rPr>
        <w:t xml:space="preserve">Alan Turing Institute (2024). Can we automate the UK's planning system using AI? Data Study Group case study.</w:t>
      </w:r>
    </w:p>
    <w:p>
      <w:pPr>
        <w:spacing w:before="80" w:after="80"/>
      </w:pPr>
      <w:r>
        <w:rPr>
          <w:rFonts w:ascii="Arial" w:cs="Arial" w:eastAsia="Arial" w:hAnsi="Arial"/>
          <w:sz w:val="22"/>
          <w:szCs w:val="22"/>
        </w:rPr>
        <w:t xml:space="preserve">Bein, L. &amp; Pufahl, L. (2024). Knowledge graphs: a key technology for explainable knowledge-aware process automation? BPM Workshops 2024, Springer.</w:t>
      </w:r>
    </w:p>
    <w:p>
      <w:pPr>
        <w:spacing w:before="80" w:after="80"/>
      </w:pPr>
      <w:r>
        <w:rPr>
          <w:rFonts w:ascii="Arial" w:cs="Arial" w:eastAsia="Arial" w:hAnsi="Arial"/>
          <w:sz w:val="22"/>
          <w:szCs w:val="22"/>
        </w:rPr>
        <w:t xml:space="preserve">Chen, B. et al. (2024). SpatialVLM: Endowing Vision-Language Models with Spatial Reasoning Capabilities. CVPR 2024, pp. 14455-14465.</w:t>
      </w:r>
    </w:p>
    <w:p>
      <w:pPr>
        <w:spacing w:before="80" w:after="80"/>
      </w:pPr>
      <w:r>
        <w:rPr>
          <w:rFonts w:ascii="Arial" w:cs="Arial" w:eastAsia="Arial" w:hAnsi="Arial"/>
          <w:sz w:val="22"/>
          <w:szCs w:val="22"/>
        </w:rPr>
        <w:t xml:space="preserve">DeLong, L.N. et al. (2024). Neurosymbolic AI for reasoning over knowledge graphs: a survey. IEEE Transactions on Neural Networks and Learning Systems.</w:t>
      </w:r>
    </w:p>
    <w:p>
      <w:pPr>
        <w:spacing w:before="80" w:after="80"/>
      </w:pPr>
      <w:r>
        <w:rPr>
          <w:rFonts w:ascii="Arial" w:cs="Arial" w:eastAsia="Arial" w:hAnsi="Arial"/>
          <w:sz w:val="22"/>
          <w:szCs w:val="22"/>
        </w:rPr>
        <w:t xml:space="preserve">Dezeen (2026, March 11). UK government hires Google to develop AI planning tool.</w:t>
      </w:r>
    </w:p>
    <w:p>
      <w:pPr>
        <w:spacing w:before="80" w:after="80"/>
      </w:pPr>
      <w:r>
        <w:rPr>
          <w:rFonts w:ascii="Arial" w:cs="Arial" w:eastAsia="Arial" w:hAnsi="Arial"/>
          <w:sz w:val="22"/>
          <w:szCs w:val="22"/>
        </w:rPr>
        <w:t xml:space="preserve">Hashmi, M. et al. (2020). Model-driven compliance checking of business processes against regulatory documents. Information Systems, Elsevier.</w:t>
      </w:r>
    </w:p>
    <w:p>
      <w:pPr>
        <w:spacing w:before="80" w:after="80"/>
      </w:pPr>
      <w:r>
        <w:rPr>
          <w:rFonts w:ascii="Arial" w:cs="Arial" w:eastAsia="Arial" w:hAnsi="Arial"/>
          <w:sz w:val="22"/>
          <w:szCs w:val="22"/>
        </w:rPr>
        <w:t xml:space="preserve">Pauwels, P. et al. (2024). A platform-based Natural Language Processing strategy for digitalising regulatory compliance in the built environment. Automation in Construction, ScienceDirect.</w:t>
      </w:r>
    </w:p>
    <w:p>
      <w:pPr>
        <w:spacing w:before="80" w:after="80"/>
      </w:pPr>
      <w:r>
        <w:rPr>
          <w:rFonts w:ascii="Arial" w:cs="Arial" w:eastAsia="Arial" w:hAnsi="Arial"/>
          <w:sz w:val="22"/>
          <w:szCs w:val="22"/>
        </w:rPr>
        <w:t xml:space="preserve">Sleimi, A. et al. (2022). NLP-based Automated Compliance Checking of Data Processing Agreements. arXiv:2209.09722.</w:t>
      </w:r>
    </w:p>
    <w:p>
      <w:pPr>
        <w:spacing w:before="80" w:after="80"/>
      </w:pPr>
      <w:r>
        <w:rPr>
          <w:rFonts w:ascii="Arial" w:cs="Arial" w:eastAsia="Arial" w:hAnsi="Arial"/>
          <w:sz w:val="22"/>
          <w:szCs w:val="22"/>
        </w:rPr>
        <w:t xml:space="preserve">Stanford CodeX (2024). Neuro-Symbolic AI for Regulatory Compliance: The ComplianceTwin Pilot.</w:t>
      </w:r>
    </w:p>
    <w:p>
      <w:pPr>
        <w:spacing w:before="80" w:after="80"/>
      </w:pPr>
      <w:r>
        <w:rPr>
          <w:rFonts w:ascii="Arial" w:cs="Arial" w:eastAsia="Arial" w:hAnsi="Arial"/>
          <w:sz w:val="22"/>
          <w:szCs w:val="22"/>
        </w:rPr>
        <w:t xml:space="preserve">Zhang et al. (2025). Neuro-Symbolic Compliance: Integrating LLMs and Formal Methods for Regulatory Compliance. arXiv:2601.06181.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2026-03-21T17:49:58.785Z</dcterms:created>
  <dcterms:modified xsi:type="dcterms:W3CDTF">2026-03-21T17:49:58.786Z</dcterms:modified>
</cp:coreProperties>
</file>

<file path=docProps/custom.xml><?xml version="1.0" encoding="utf-8"?>
<Properties xmlns="http://schemas.openxmlformats.org/officeDocument/2006/custom-properties" xmlns:vt="http://schemas.openxmlformats.org/officeDocument/2006/docPropsVTypes"/>
</file>