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Calibri" w:cs="Calibri" w:eastAsia="Calibri" w:hAnsi="Calibri"/>
          <w:b w:val="false"/>
          <w:bCs w:val="false"/>
          <w:i w:val="false"/>
          <w:iCs w:val="false"/>
          <w:color w:val="000000"/>
          <w:sz w:val="22"/>
          <w:szCs w:val="22"/>
        </w:rPr>
        <w:t xml:space="preserve">Data Curation Report</w:t>
      </w:r>
    </w:p>
    <w:p>
      <w:pPr>
        <w:spacing w:after="100"/>
      </w:pPr>
      <w:r>
        <w:rPr>
          <w:rFonts w:ascii="Calibri" w:cs="Calibri" w:eastAsia="Calibri" w:hAnsi="Calibri"/>
          <w:b w:val="false"/>
          <w:bCs w:val="false"/>
          <w:i w:val="false"/>
          <w:iCs w:val="false"/>
          <w:color w:val="000000"/>
          <w:sz w:val="22"/>
          <w:szCs w:val="22"/>
        </w:rPr>
        <w:t xml:space="preserve"/>
      </w:r>
    </w:p>
    <w:p>
      <w:pPr>
        <w:spacing w:after="200"/>
      </w:pPr>
      <w:r>
        <w:rPr>
          <w:rFonts w:ascii="Calibri" w:cs="Calibri" w:eastAsia="Calibri" w:hAnsi="Calibri"/>
          <w:b/>
          <w:bCs/>
          <w:i w:val="false"/>
          <w:iCs w:val="false"/>
          <w:color w:val="000000"/>
          <w:sz w:val="22"/>
          <w:szCs w:val="22"/>
        </w:rPr>
        <w:t xml:space="preserve">Name: </w:t>
      </w:r>
      <w:r>
        <w:rPr>
          <w:rFonts w:ascii="Calibri" w:cs="Calibri" w:eastAsia="Calibri" w:hAnsi="Calibri"/>
          <w:b w:val="false"/>
          <w:bCs w:val="false"/>
          <w:i w:val="false"/>
          <w:iCs w:val="false"/>
          <w:color w:val="000000"/>
          <w:sz w:val="22"/>
          <w:szCs w:val="22"/>
        </w:rPr>
        <w:t xml:space="preserve">Premier League Home Advantage &amp; Match Outcome Analysis</w:t>
      </w:r>
    </w:p>
    <w:p>
      <w:pPr>
        <w:pStyle w:val="Heading2"/>
      </w:pPr>
      <w:r>
        <w:rPr>
          <w:rFonts w:ascii="Calibri" w:cs="Calibri" w:eastAsia="Calibri" w:hAnsi="Calibri"/>
          <w:b w:val="false"/>
          <w:bCs w:val="false"/>
          <w:i w:val="false"/>
          <w:iCs w:val="false"/>
          <w:color w:val="000000"/>
          <w:sz w:val="22"/>
          <w:szCs w:val="22"/>
        </w:rPr>
        <w:t xml:space="preserve">Overview</w:t>
      </w:r>
    </w:p>
    <w:p>
      <w:pPr>
        <w:spacing w:after="140"/>
      </w:pPr>
      <w:r>
        <w:rPr>
          <w:rFonts w:ascii="Calibri" w:cs="Calibri" w:eastAsia="Calibri" w:hAnsi="Calibri"/>
          <w:b w:val="false"/>
          <w:bCs w:val="false"/>
          <w:i w:val="false"/>
          <w:iCs w:val="false"/>
          <w:color w:val="000000"/>
          <w:sz w:val="22"/>
          <w:szCs w:val="22"/>
        </w:rPr>
        <w:t xml:space="preserve">Before doing any analysis I needed to make sure the data was actually worth using. That meant tracking down the right files, checking what was in them, and cleaning them up so they could all work together. This report documents those three steps — sourcing, profiling, and wrangling — and explains the decisions I made along the way.</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1: Data Sourcing</w:t>
      </w:r>
    </w:p>
    <w:p>
      <w:pPr>
        <w:spacing w:after="140"/>
      </w:pPr>
      <w:r>
        <w:rPr>
          <w:rFonts w:ascii="Calibri" w:cs="Calibri" w:eastAsia="Calibri" w:hAnsi="Calibri"/>
          <w:b w:val="false"/>
          <w:bCs w:val="false"/>
          <w:i w:val="false"/>
          <w:iCs w:val="false"/>
          <w:color w:val="000000"/>
          <w:sz w:val="22"/>
          <w:szCs w:val="22"/>
        </w:rPr>
        <w:t xml:space="preserve">All three datasets came from football-data.co.uk. I'd used this site before and knew the data was reliable and consistently structured. It publishes match-by-match statistics for football leagues across Europe, and the Premier League files are updated every season. No API or scraping was needed — just a straightforward CSV download for each season.</w:t>
      </w:r>
    </w:p>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Here's what I downloaded:</w:t>
      </w:r>
    </w:p>
    <w:p>
      <w:pPr>
        <w:spacing w:after="100"/>
      </w:pPr>
      <w:r>
        <w:rPr>
          <w:rFonts w:ascii="Calibri" w:cs="Calibri" w:eastAsia="Calibri" w:hAnsi="Calibri"/>
          <w:b w:val="false"/>
          <w:bCs w:val="false"/>
          <w:i w:val="false"/>
          <w:iCs w:val="false"/>
          <w:color w:val="000000"/>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1000"/>
        <w:gridCol w:w="1340"/>
      </w:tblGrid>
      <w:tr>
        <w:tc>
          <w:tcPr>
            <w:tcW w:type="dxa" w:w="17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Dataset Name</w:t>
            </w:r>
          </w:p>
        </w:tc>
        <w:tc>
          <w:tcPr>
            <w:tcW w:type="dxa" w:w="24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Description</w:t>
            </w:r>
          </w:p>
        </w:tc>
        <w:tc>
          <w:tcPr>
            <w:tcW w:type="dxa" w:w="22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Source URL</w:t>
            </w:r>
          </w:p>
        </w:tc>
        <w:tc>
          <w:tcPr>
            <w:tcW w:type="dxa" w:w="10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File Size</w:t>
            </w:r>
          </w:p>
        </w:tc>
        <w:tc>
          <w:tcPr>
            <w:tcW w:type="dxa" w:w="134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How Obtained</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E0.csv</w:t>
            </w:r>
          </w:p>
        </w:tc>
        <w:tc>
          <w:tcPr>
            <w:tcW w:type="dxa" w:w="2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Premier League 2023–24 season — full match results, stats, and betting odds for all 380 games</w:t>
            </w:r>
          </w:p>
        </w:tc>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football-data.co.uk</w:t>
            </w:r>
          </w:p>
        </w:tc>
        <w:tc>
          <w:tcPr>
            <w:tcW w:type="dxa" w:w="10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171 KB</w:t>
            </w:r>
          </w:p>
        </w:tc>
        <w:tc>
          <w:tcPr>
            <w:tcW w:type="dxa" w:w="13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Direct CSV download</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E0__1_.csv</w:t>
            </w:r>
          </w:p>
        </w:tc>
        <w:tc>
          <w:tcPr>
            <w:tcW w:type="dxa" w:w="2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Premier League 2022–23 season — same structure, 380 matches</w:t>
            </w:r>
          </w:p>
        </w:tc>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football-data.co.uk</w:t>
            </w:r>
          </w:p>
        </w:tc>
        <w:tc>
          <w:tcPr>
            <w:tcW w:type="dxa" w:w="10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172 KB</w:t>
            </w:r>
          </w:p>
        </w:tc>
        <w:tc>
          <w:tcPr>
            <w:tcW w:type="dxa" w:w="13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Direct CSV download</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E0__2_.csv</w:t>
            </w:r>
          </w:p>
        </w:tc>
        <w:tc>
          <w:tcPr>
            <w:tcW w:type="dxa" w:w="2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Premier League 2021–22 season — same structure, 380 matches</w:t>
            </w:r>
          </w:p>
        </w:tc>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football-data.co.uk</w:t>
            </w:r>
          </w:p>
        </w:tc>
        <w:tc>
          <w:tcPr>
            <w:tcW w:type="dxa" w:w="10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168 KB</w:t>
            </w:r>
          </w:p>
        </w:tc>
        <w:tc>
          <w:tcPr>
            <w:tcW w:type="dxa" w:w="13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Direct CSV download</w:t>
            </w:r>
          </w:p>
        </w:tc>
      </w:tr>
    </w:tbl>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Each file covers one complete Premier League season: 380 matches, 20 teams, 38 matchdays. All three use the same 107-column layout, which made combining them much easier than if the structure had changed between years. The total download size across all three files was about 511 KB.</w:t>
      </w:r>
    </w:p>
    <w:p>
      <w:pPr>
        <w:spacing w:after="140"/>
      </w:pPr>
      <w:r>
        <w:rPr>
          <w:rFonts w:ascii="Calibri" w:cs="Calibri" w:eastAsia="Calibri" w:hAnsi="Calibri"/>
          <w:b w:val="false"/>
          <w:bCs w:val="false"/>
          <w:i w:val="false"/>
          <w:iCs w:val="false"/>
          <w:color w:val="000000"/>
          <w:sz w:val="22"/>
          <w:szCs w:val="22"/>
        </w:rPr>
        <w:t xml:space="preserve">One thing worth mentioning: the files contain a lot more than just match statistics. Most of the 107 columns are betting odds from bookmakers like Bet365, Betway, Pinnacle, and William Hill. I did not need any of that for this project, so it got excluded during the wrangling step.</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2: Data Profiling</w:t>
      </w:r>
    </w:p>
    <w:p>
      <w:pPr>
        <w:spacing w:after="140"/>
      </w:pPr>
      <w:r>
        <w:rPr>
          <w:rFonts w:ascii="Calibri" w:cs="Calibri" w:eastAsia="Calibri" w:hAnsi="Calibri"/>
          <w:b w:val="false"/>
          <w:bCs w:val="false"/>
          <w:i w:val="false"/>
          <w:iCs w:val="false"/>
          <w:color w:val="000000"/>
          <w:sz w:val="22"/>
          <w:szCs w:val="22"/>
        </w:rPr>
        <w:t xml:space="preserve">Before touching the data I went through each file to understand what was actually there. The profiling process covered three things: the structure of the data, the content (including any missing or unusual values), and the relationships between the three files.</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2.1 Structure Discovery</w:t>
      </w:r>
    </w:p>
    <w:p>
      <w:pPr>
        <w:spacing w:after="140"/>
      </w:pPr>
      <w:r>
        <w:rPr>
          <w:rFonts w:ascii="Calibri" w:cs="Calibri" w:eastAsia="Calibri" w:hAnsi="Calibri"/>
          <w:b w:val="false"/>
          <w:bCs w:val="false"/>
          <w:i w:val="false"/>
          <w:iCs w:val="false"/>
          <w:color w:val="000000"/>
          <w:sz w:val="22"/>
          <w:szCs w:val="22"/>
        </w:rPr>
        <w:t xml:space="preserve">Each raw file has 380 rows (one per match) and 107 columns. The columns fall into three clear groups: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Match identifiers and results (9 columns): Div, Date, Time, HomeTeam, AwayTeam, FTHG, FTAG, FTR, Referee</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In-game match statistics (16 columns): shots, shots on target, fouls, corners, yellow cards and red cards — for both home and away sides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Betting odds (82 columns): opening and closing lines from multiple bookmakers across win/draw/loss, over/under, and Asian handicap markets — not used in this analysis</w:t>
      </w:r>
    </w:p>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For data types, all the match statistic columns (goals, shots, fouls, corners, cards) are stored as integers, which is what you'd expect for count data. The Date column comes as a DD/MM/YYYY string and needed converting. The result columns FTR and HTR are categorical strings: H for home win, D for draw, A for away win.</w:t>
      </w:r>
    </w:p>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Basic mathematical checks on the raw data: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800"/>
        <w:gridCol w:w="4840"/>
      </w:tblGrid>
      <w:tr>
        <w:tc>
          <w:tcPr>
            <w:tcW w:type="dxa" w:w="14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Column</w:t>
            </w:r>
          </w:p>
        </w:tc>
        <w:tc>
          <w:tcPr>
            <w:tcW w:type="dxa" w:w="8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Min</w:t>
            </w:r>
          </w:p>
        </w:tc>
        <w:tc>
          <w:tcPr>
            <w:tcW w:type="dxa" w:w="8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Max</w:t>
            </w:r>
          </w:p>
        </w:tc>
        <w:tc>
          <w:tcPr>
            <w:tcW w:type="dxa" w:w="8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Mean</w:t>
            </w:r>
          </w:p>
        </w:tc>
        <w:tc>
          <w:tcPr>
            <w:tcW w:type="dxa" w:w="484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Notes</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FTHG (home goals)</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9</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1.65</w:t>
            </w:r>
          </w:p>
        </w:tc>
        <w:tc>
          <w:tcPr>
            <w:tcW w:type="dxa" w:w="48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Max of 9 is Liverpool 9–0 Bournemouth, Aug 2022 — valid</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FTAG (away goals)</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8</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1.33</w:t>
            </w:r>
          </w:p>
        </w:tc>
        <w:tc>
          <w:tcPr>
            <w:tcW w:type="dxa" w:w="48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Max of 8 is Sheffield Utd 0–8 Newcastle, Sep 2023 — valid</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HS (home shots)</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36</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14.40</w:t>
            </w:r>
          </w:p>
        </w:tc>
        <w:tc>
          <w:tcPr>
            <w:tcW w:type="dxa" w:w="48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All values plausible for a PL match</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AS (away shots)</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31</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11.74</w:t>
            </w:r>
          </w:p>
        </w:tc>
        <w:tc>
          <w:tcPr>
            <w:tcW w:type="dxa" w:w="48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Consistent with home teams taking more shots</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HST (home SOT)</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15</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5.01</w:t>
            </w:r>
          </w:p>
        </w:tc>
        <w:tc>
          <w:tcPr>
            <w:tcW w:type="dxa" w:w="48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 shots on target in a match is unusual but valid</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AST (away SOT)</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15</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4.16</w:t>
            </w:r>
          </w:p>
        </w:tc>
        <w:tc>
          <w:tcPr>
            <w:tcW w:type="dxa" w:w="48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Lower average than home — supports home advantage hypothesis</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HF (home fouls)</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23</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10.47</w:t>
            </w:r>
          </w:p>
        </w:tc>
        <w:tc>
          <w:tcPr>
            <w:tcW w:type="dxa" w:w="48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Range looks realistic</w:t>
            </w:r>
          </w:p>
        </w:tc>
      </w:tr>
      <w:tr>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HC (home corners)</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17</w:t>
            </w:r>
          </w:p>
        </w:tc>
        <w:tc>
          <w:tcPr>
            <w:tcW w:type="dxa" w:w="8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5.79</w:t>
            </w:r>
          </w:p>
        </w:tc>
        <w:tc>
          <w:tcPr>
            <w:tcW w:type="dxa" w:w="48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 corners in a match is rare but possible</w:t>
            </w:r>
          </w:p>
        </w:tc>
      </w:tr>
      <w:tr>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HY (home yellows)</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6</w:t>
            </w:r>
          </w:p>
        </w:tc>
        <w:tc>
          <w:tcPr>
            <w:tcW w:type="dxa" w:w="8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1.74</w:t>
            </w:r>
          </w:p>
        </w:tc>
        <w:tc>
          <w:tcPr>
            <w:tcW w:type="dxa" w:w="48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Max of 6 yellows is high but valid in a rough game</w:t>
            </w:r>
          </w:p>
        </w:tc>
      </w:tr>
    </w:tbl>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2.2 Content Discovery — Null Values</w:t>
      </w:r>
    </w:p>
    <w:p>
      <w:pPr>
        <w:spacing w:after="140"/>
      </w:pPr>
      <w:r>
        <w:rPr>
          <w:rFonts w:ascii="Calibri" w:cs="Calibri" w:eastAsia="Calibri" w:hAnsi="Calibri"/>
          <w:b w:val="false"/>
          <w:bCs w:val="false"/>
          <w:i w:val="false"/>
          <w:iCs w:val="false"/>
          <w:color w:val="000000"/>
          <w:sz w:val="22"/>
          <w:szCs w:val="22"/>
        </w:rPr>
        <w:t xml:space="preserve">This was the part I was most relieved about. I checked every column in every file for missing values:</w:t>
      </w:r>
    </w:p>
    <w:p>
      <w:pPr>
        <w:spacing w:after="100"/>
      </w:pPr>
      <w:r>
        <w:rPr>
          <w:rFonts w:ascii="Calibri" w:cs="Calibri" w:eastAsia="Calibri" w:hAnsi="Calibri"/>
          <w:b w:val="false"/>
          <w:bCs w:val="false"/>
          <w:i w:val="false"/>
          <w:iCs w:val="false"/>
          <w:color w:val="000000"/>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40"/>
        <w:gridCol w:w="1400"/>
      </w:tblGrid>
      <w:tr>
        <w:tc>
          <w:tcPr>
            <w:tcW w:type="dxa" w:w="22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Dataset</w:t>
            </w:r>
          </w:p>
        </w:tc>
        <w:tc>
          <w:tcPr>
            <w:tcW w:type="dxa" w:w="24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Total Nulls (all 107 cols)</w:t>
            </w:r>
          </w:p>
        </w:tc>
        <w:tc>
          <w:tcPr>
            <w:tcW w:type="dxa" w:w="264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Nulls in the 22 columns I used</w:t>
            </w:r>
          </w:p>
        </w:tc>
        <w:tc>
          <w:tcPr>
            <w:tcW w:type="dxa" w:w="14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Action Needed</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2021–22 (E0__2_.csv)</w:t>
            </w:r>
          </w:p>
        </w:tc>
        <w:tc>
          <w:tcPr>
            <w:tcW w:type="dxa" w:w="2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1,166</w:t>
            </w:r>
          </w:p>
        </w:tc>
        <w:tc>
          <w:tcPr>
            <w:tcW w:type="dxa" w:w="2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None — all nulls were in the betting odds columns</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2022–23 (E0__1_.csv)</w:t>
            </w:r>
          </w:p>
        </w:tc>
        <w:tc>
          <w:tcPr>
            <w:tcW w:type="dxa" w:w="2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w:t>
            </w:r>
          </w:p>
        </w:tc>
        <w:tc>
          <w:tcPr>
            <w:tcW w:type="dxa" w:w="2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None — same story</w:t>
            </w:r>
          </w:p>
        </w:tc>
      </w:tr>
      <w:tr>
        <w:tc>
          <w:tcPr>
            <w:tcW w:type="dxa" w:w="2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2023–24 (E0.csv)</w:t>
            </w:r>
          </w:p>
        </w:tc>
        <w:tc>
          <w:tcPr>
            <w:tcW w:type="dxa" w:w="2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13</w:t>
            </w:r>
          </w:p>
        </w:tc>
        <w:tc>
          <w:tcPr>
            <w:tcW w:type="dxa" w:w="26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14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None — same story</w:t>
            </w:r>
          </w:p>
        </w:tc>
      </w:tr>
      <w:tr>
        <w:tc>
          <w:tcPr>
            <w:tcW w:type="dxa" w:w="2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Combined cleaned dataset</w:t>
            </w:r>
          </w:p>
        </w:tc>
        <w:tc>
          <w:tcPr>
            <w:tcW w:type="dxa" w:w="2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26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14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Nothing to fix</w:t>
            </w:r>
          </w:p>
        </w:tc>
      </w:tr>
    </w:tbl>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Every null value across all three files was in the betting odds columns, none of which I was using. The 22 match statistic columns I selected were completely clean. That meant no imputation, no decisions about how to handle gaps, and no dropped rows — which made the wrangling step a lot more straightforward.</w:t>
      </w:r>
    </w:p>
    <w:p>
      <w:pPr>
        <w:spacing w:after="140"/>
      </w:pPr>
      <w:r>
        <w:rPr>
          <w:rFonts w:ascii="Calibri" w:cs="Calibri" w:eastAsia="Calibri" w:hAnsi="Calibri"/>
          <w:b w:val="false"/>
          <w:bCs w:val="false"/>
          <w:i w:val="false"/>
          <w:iCs w:val="false"/>
          <w:color w:val="000000"/>
          <w:sz w:val="22"/>
          <w:szCs w:val="22"/>
        </w:rPr>
        <w:t xml:space="preserve">I also checked the categorical columns. The FTR column only ever contains H, D, or A — no unexpected values, no blank entries. Same for HTR. The HomeTeam and AwayTeam columns are spelled consistently across all three seasons, so there was no standardisation needed (e.g. it is always ‘Man City’, never ‘Manchester City’).</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2.3 Relationship Discovery</w:t>
      </w:r>
    </w:p>
    <w:p>
      <w:pPr>
        <w:spacing w:after="140"/>
      </w:pPr>
      <w:r>
        <w:rPr>
          <w:rFonts w:ascii="Calibri" w:cs="Calibri" w:eastAsia="Calibri" w:hAnsi="Calibri"/>
          <w:b w:val="false"/>
          <w:bCs w:val="false"/>
          <w:i w:val="false"/>
          <w:iCs w:val="false"/>
          <w:color w:val="000000"/>
          <w:sz w:val="22"/>
          <w:szCs w:val="22"/>
        </w:rPr>
        <w:t xml:space="preserve">The three files relate to each other in a simple way: they cover different seasons but share the exact same column structure. That made combining them very clean. A few specific checks I ran:</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Column names: identical across all three files — pd.concat() worked without any schema reconciliation</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Match counts: each file contains exactly 380 rows, confirming no matchdays are missing from any season</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Team consistency: team names are spelled the same way in all three files, so no name-matching was needed</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Date format: all three use DD/MM/YYYY, parsed consistently using pd.to_datetime(dayfirst=True)</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Distinct teams: 20 unique home teams per season as expected, though the specific clubs vary due to promotion and relegation between years</w:t>
      </w:r>
    </w:p>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val="false"/>
          <w:iCs w:val="false"/>
          <w:color w:val="000000"/>
          <w:sz w:val="22"/>
          <w:szCs w:val="22"/>
        </w:rPr>
        <w:t xml:space="preserve">The FTR distribution across all 1,140 matches breaks down as: 522 home wins (45.8%), 257 draws (22.5%), and 361 away wins (31.7%). I noted this at the profiling stage as the first piece of evidence that home advantage might be real — 45.8% is quite a bit higher than the 33.3% you'd expect if home or away made no difference.</w:t>
      </w:r>
    </w:p>
    <w:p>
      <w:pPr>
        <w:spacing w:after="100"/>
      </w:pPr>
      <w:r>
        <w:rPr>
          <w:rFonts w:ascii="Calibri" w:cs="Calibri" w:eastAsia="Calibri" w:hAnsi="Calibri"/>
          <w:b w:val="false"/>
          <w:bCs w:val="false"/>
          <w:i w:val="false"/>
          <w:iCs w:val="false"/>
          <w:color w:val="000000"/>
          <w:sz w:val="22"/>
          <w:szCs w:val="22"/>
        </w:rPr>
        <w:t xml:space="preserve"/>
      </w:r>
    </w:p>
    <w:p>
      <w:pPr>
        <w:pStyle w:val="Heading1"/>
      </w:pPr>
      <w:r>
        <w:rPr>
          <w:rFonts w:ascii="Calibri" w:cs="Calibri" w:eastAsia="Calibri" w:hAnsi="Calibri"/>
          <w:b w:val="false"/>
          <w:bCs w:val="false"/>
          <w:i w:val="false"/>
          <w:iCs w:val="false"/>
          <w:color w:val="000000"/>
          <w:sz w:val="22"/>
          <w:szCs w:val="22"/>
        </w:rPr>
        <w:t xml:space="preserve">Step 3: Data Wrangling</w:t>
      </w:r>
    </w:p>
    <w:p>
      <w:pPr>
        <w:spacing w:after="140"/>
      </w:pPr>
      <w:r>
        <w:rPr>
          <w:rFonts w:ascii="Calibri" w:cs="Calibri" w:eastAsia="Calibri" w:hAnsi="Calibri"/>
          <w:b w:val="false"/>
          <w:bCs w:val="false"/>
          <w:i w:val="false"/>
          <w:iCs w:val="false"/>
          <w:color w:val="000000"/>
          <w:sz w:val="22"/>
          <w:szCs w:val="22"/>
        </w:rPr>
        <w:t xml:space="preserve">Once I was satisfied the data was reliable, I cleaned and reshaped it into a single working dataset. Here is what I did and why:</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3.1 Wrangling Steps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3200"/>
        <w:gridCol w:w="3100"/>
      </w:tblGrid>
      <w:tr>
        <w:tc>
          <w:tcPr>
            <w:tcW w:type="dxa" w:w="34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w:t>
            </w:r>
          </w:p>
        </w:tc>
        <w:tc>
          <w:tcPr>
            <w:tcW w:type="dxa" w:w="20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Step</w:t>
            </w:r>
          </w:p>
        </w:tc>
        <w:tc>
          <w:tcPr>
            <w:tcW w:type="dxa" w:w="32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What I Did</w:t>
            </w:r>
          </w:p>
        </w:tc>
        <w:tc>
          <w:tcPr>
            <w:tcW w:type="dxa" w:w="31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Why</w:t>
            </w:r>
          </w:p>
        </w:tc>
      </w:tr>
      <w:tr>
        <w:tc>
          <w:tcPr>
            <w:tcW w:type="dxa" w:w="3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20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Added a Season label</w:t>
            </w:r>
          </w:p>
        </w:tc>
        <w:tc>
          <w:tcPr>
            <w:tcW w:type="dxa" w:w="3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Before merging, I added a 'Season' column to each dataframe (e.g. '2021-22')</w:t>
            </w:r>
          </w:p>
        </w:tc>
        <w:tc>
          <w:tcPr>
            <w:tcW w:type="dxa" w:w="31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Without this, there would be no way to tell which season a row came from after combining</w:t>
            </w:r>
          </w:p>
        </w:tc>
      </w:tr>
      <w:tr>
        <w:tc>
          <w:tcPr>
            <w:tcW w:type="dxa" w:w="3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w:t>
            </w:r>
          </w:p>
        </w:tc>
        <w:tc>
          <w:tcPr>
            <w:tcW w:type="dxa" w:w="20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Merged all three files</w:t>
            </w:r>
          </w:p>
        </w:tc>
        <w:tc>
          <w:tcPr>
            <w:tcW w:type="dxa" w:w="3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Used pd.concat() to stack the three dataframes into one 1,140-row dataset</w:t>
            </w:r>
          </w:p>
        </w:tc>
        <w:tc>
          <w:tcPr>
            <w:tcW w:type="dxa" w:w="31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Allows cross-season analysis without running separate queries on each file</w:t>
            </w:r>
          </w:p>
        </w:tc>
      </w:tr>
      <w:tr>
        <w:tc>
          <w:tcPr>
            <w:tcW w:type="dxa" w:w="3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w:t>
            </w:r>
          </w:p>
        </w:tc>
        <w:tc>
          <w:tcPr>
            <w:tcW w:type="dxa" w:w="20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Selected 22 columns</w:t>
            </w:r>
          </w:p>
        </w:tc>
        <w:tc>
          <w:tcPr>
            <w:tcW w:type="dxa" w:w="3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Dropped the 85 betting odds columns and kept only the 22 match statistic columns</w:t>
            </w:r>
          </w:p>
        </w:tc>
        <w:tc>
          <w:tcPr>
            <w:tcW w:type="dxa" w:w="31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The betting data is irrelevant to the research question and would add noise to any correlation analysis</w:t>
            </w:r>
          </w:p>
        </w:tc>
      </w:tr>
      <w:tr>
        <w:tc>
          <w:tcPr>
            <w:tcW w:type="dxa" w:w="3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w:t>
            </w:r>
          </w:p>
        </w:tc>
        <w:tc>
          <w:tcPr>
            <w:tcW w:type="dxa" w:w="20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Converted Date to datetime</w:t>
            </w:r>
          </w:p>
        </w:tc>
        <w:tc>
          <w:tcPr>
            <w:tcW w:type="dxa" w:w="3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pd.to_datetime(dayfirst=True) on the Date column</w:t>
            </w:r>
          </w:p>
        </w:tc>
        <w:tc>
          <w:tcPr>
            <w:tcW w:type="dxa" w:w="31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The raw format (DD/MM/YYYY string) is not useful for filtering or sorting by date</w:t>
            </w:r>
          </w:p>
        </w:tc>
      </w:tr>
      <w:tr>
        <w:tc>
          <w:tcPr>
            <w:tcW w:type="dxa" w:w="3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5</w:t>
            </w:r>
          </w:p>
        </w:tc>
        <w:tc>
          <w:tcPr>
            <w:tcW w:type="dxa" w:w="20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Engineered three new columns</w:t>
            </w:r>
          </w:p>
        </w:tc>
        <w:tc>
          <w:tcPr>
            <w:tcW w:type="dxa" w:w="3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TotalGoals = FTHG + FTAG; GoalDiff = FTHG − FTAG; Result_num = H→1, D→0, A→−1</w:t>
            </w:r>
          </w:p>
        </w:tc>
        <w:tc>
          <w:tcPr>
            <w:tcW w:type="dxa" w:w="31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TotalGoals and GoalDiff are useful summary metrics; Result_num is needed to run Pearson correlation analysis since FTR is categorical</w:t>
            </w:r>
          </w:p>
        </w:tc>
      </w:tr>
      <w:tr>
        <w:tc>
          <w:tcPr>
            <w:tcW w:type="dxa" w:w="3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6</w:t>
            </w:r>
          </w:p>
        </w:tc>
        <w:tc>
          <w:tcPr>
            <w:tcW w:type="dxa" w:w="20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Verified null count</w:t>
            </w:r>
          </w:p>
        </w:tc>
        <w:tc>
          <w:tcPr>
            <w:tcW w:type="dxa" w:w="3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Confirmed 0 nulls across all 22 columns in the merged dataset</w:t>
            </w:r>
          </w:p>
        </w:tc>
        <w:tc>
          <w:tcPr>
            <w:tcW w:type="dxa" w:w="31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Final check to make sure the merge did not introduce any unexpected gaps</w:t>
            </w:r>
          </w:p>
        </w:tc>
      </w:tr>
    </w:tbl>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3.2 Cleaned Datasets Used</w:t>
      </w:r>
    </w:p>
    <w:p>
      <w:pPr>
        <w:spacing w:after="140"/>
      </w:pPr>
      <w:r>
        <w:rPr>
          <w:rFonts w:ascii="Calibri" w:cs="Calibri" w:eastAsia="Calibri" w:hAnsi="Calibri"/>
          <w:b w:val="false"/>
          <w:bCs w:val="false"/>
          <w:i w:val="false"/>
          <w:iCs w:val="false"/>
          <w:color w:val="000000"/>
          <w:sz w:val="22"/>
          <w:szCs w:val="22"/>
        </w:rPr>
        <w:t xml:space="preserve">After wrangling, the project uses one main dataset:</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Name: pl_combined_2021_2024 (in-memory Python dataframe)</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Source: three CSV files from football-data.co.uk (E0.csv, E0__1_.csv, E0__2_.csv)</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Original file size: 511.6 KB combined</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Rows: 1,140 (380 matches per season × 3 seasons)</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Columns: 22 original + 3 engineered = 25 total</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Null values: 0</w:t>
      </w:r>
    </w:p>
    <w:p>
      <w:pPr>
        <w:pStyle w:val="ListParagraph"/>
        <w:numPr>
          <w:ilvl w:val="0"/>
          <w:numId w:val="2"/>
        </w:numPr>
        <w:spacing w:after="80"/>
      </w:pPr>
      <w:r>
        <w:rPr>
          <w:rFonts w:ascii="Calibri" w:cs="Calibri" w:eastAsia="Calibri" w:hAnsi="Calibri"/>
          <w:b w:val="false"/>
          <w:bCs w:val="false"/>
          <w:i w:val="false"/>
          <w:iCs w:val="false"/>
          <w:color w:val="000000"/>
          <w:sz w:val="22"/>
          <w:szCs w:val="22"/>
        </w:rPr>
        <w:t xml:space="preserve">Date coverage: August 2021 to May 2024</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3.3 Data Schema</w:t>
      </w:r>
    </w:p>
    <w:p>
      <w:pPr>
        <w:spacing w:after="140"/>
      </w:pPr>
      <w:r>
        <w:rPr>
          <w:rFonts w:ascii="Calibri" w:cs="Calibri" w:eastAsia="Calibri" w:hAnsi="Calibri"/>
          <w:b w:val="false"/>
          <w:bCs w:val="false"/>
          <w:i w:val="false"/>
          <w:iCs w:val="false"/>
          <w:color w:val="000000"/>
          <w:sz w:val="22"/>
          <w:szCs w:val="22"/>
        </w:rPr>
        <w:t xml:space="preserve">Full description of every column in the cleaned dataset:</w:t>
      </w:r>
    </w:p>
    <w:p>
      <w:pPr>
        <w:spacing w:after="100"/>
      </w:pPr>
      <w:r>
        <w:rPr>
          <w:rFonts w:ascii="Calibri" w:cs="Calibri" w:eastAsia="Calibri" w:hAnsi="Calibri"/>
          <w:b w:val="false"/>
          <w:bCs w:val="false"/>
          <w:i w:val="false"/>
          <w:iCs w:val="false"/>
          <w:color w:val="000000"/>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4240"/>
      </w:tblGrid>
      <w:tr>
        <w:tc>
          <w:tcPr>
            <w:tcW w:type="dxa" w:w="17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Column</w:t>
            </w:r>
          </w:p>
        </w:tc>
        <w:tc>
          <w:tcPr>
            <w:tcW w:type="dxa" w:w="12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Type</w:t>
            </w:r>
          </w:p>
        </w:tc>
        <w:tc>
          <w:tcPr>
            <w:tcW w:type="dxa" w:w="150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Example Value</w:t>
            </w:r>
          </w:p>
        </w:tc>
        <w:tc>
          <w:tcPr>
            <w:tcW w:type="dxa" w:w="4240"/>
            <w:tcBorders>
              <w:top w:val="single" w:color="4F81BD" w:sz="4"/>
              <w:left w:val="single" w:color="4F81BD" w:sz="4"/>
              <w:bottom w:val="single" w:color="4F81BD" w:sz="4"/>
              <w:right w:val="single" w:color="4F81BD" w:sz="4"/>
            </w:tcBorders>
            <w:shd w:fill="365F91"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Description</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Season</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String</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2023-24</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Premier League season label, added during wrangling</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Date</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Datetime</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2023-08-13</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Match date, converted from DD/MM/YYYY string</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HomeTeam</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String</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Liverpool</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Name of the home side</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AwayTeam</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String</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Chelsea</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Name of the away side</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FTHG</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Full-time home team goals</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FTAG</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Full-time away team goals</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FTR</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String</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Full-time result: H = home win, D = draw, A = away win</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HTHG</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Half-time home team goals</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HTAG</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Half-time away team goals</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HTR</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String</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Half-time result: H / D / A</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HS</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15</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Total shots by the home team</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AS</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10</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Total shots by the away team</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HST</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6</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Home team shots on target</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AST</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Away team shots on target</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HF</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11</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Fouls committed by the home team</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AF</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12</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Fouls committed by the away team</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HC</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6</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Corners won by the home team</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AC</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4</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Corners won by the away team</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HY</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Yellow cards received by home team</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AY</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2</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Yellow cards received by away team</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HR</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Red cards received by home team</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AR</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0</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Red cards received by away team</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TotalGoals *</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3</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FTHG + FTAG — engineered during wrangling</w:t>
            </w:r>
          </w:p>
        </w:tc>
      </w:tr>
      <w:tr>
        <w:tc>
          <w:tcPr>
            <w:tcW w:type="dxa" w:w="17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GoalDiff *</w:t>
            </w:r>
          </w:p>
        </w:tc>
        <w:tc>
          <w:tcPr>
            <w:tcW w:type="dxa" w:w="12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4240"/>
            <w:tcBorders>
              <w:top w:val="single" w:color="4F81BD" w:sz="4"/>
              <w:left w:val="single" w:color="4F81BD" w:sz="4"/>
              <w:bottom w:val="single" w:color="4F81BD" w:sz="4"/>
              <w:right w:val="single" w:color="4F81BD" w:sz="4"/>
            </w:tcBorders>
            <w:shd w:fill="DBE5F1"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FTHG − FTAG — positive = home team ahead</w:t>
            </w:r>
          </w:p>
        </w:tc>
      </w:tr>
      <w:tr>
        <w:tc>
          <w:tcPr>
            <w:tcW w:type="dxa" w:w="17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Result_num *</w:t>
            </w:r>
          </w:p>
        </w:tc>
        <w:tc>
          <w:tcPr>
            <w:tcW w:type="dxa" w:w="12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Integer</w:t>
            </w:r>
          </w:p>
        </w:tc>
        <w:tc>
          <w:tcPr>
            <w:tcW w:type="dxa" w:w="150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1</w:t>
            </w:r>
          </w:p>
        </w:tc>
        <w:tc>
          <w:tcPr>
            <w:tcW w:type="dxa" w:w="4240"/>
            <w:tcBorders>
              <w:top w:val="single" w:color="4F81BD" w:sz="4"/>
              <w:left w:val="single" w:color="4F81BD" w:sz="4"/>
              <w:bottom w:val="single" w:color="4F81BD" w:sz="4"/>
              <w:right w:val="single" w:color="4F81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19"/>
                <w:szCs w:val="19"/>
              </w:rPr>
              <w:t xml:space="preserve">FTR encoded numerically: H=1, D=0, A=−1 — needed for correlation analysis</w:t>
            </w:r>
          </w:p>
        </w:tc>
      </w:tr>
    </w:tbl>
    <w:p>
      <w:pPr>
        <w:spacing w:after="100"/>
      </w:pPr>
      <w:r>
        <w:rPr>
          <w:rFonts w:ascii="Calibri" w:cs="Calibri" w:eastAsia="Calibri" w:hAnsi="Calibri"/>
          <w:b w:val="false"/>
          <w:bCs w:val="false"/>
          <w:i w:val="false"/>
          <w:iCs w:val="false"/>
          <w:color w:val="000000"/>
          <w:sz w:val="22"/>
          <w:szCs w:val="22"/>
        </w:rPr>
        <w:t xml:space="preserve"/>
      </w:r>
    </w:p>
    <w:p>
      <w:pPr>
        <w:spacing w:after="140"/>
      </w:pPr>
      <w:r>
        <w:rPr>
          <w:rFonts w:ascii="Calibri" w:cs="Calibri" w:eastAsia="Calibri" w:hAnsi="Calibri"/>
          <w:b w:val="false"/>
          <w:bCs w:val="false"/>
          <w:i/>
          <w:iCs/>
          <w:color w:val="555555"/>
          <w:sz w:val="22"/>
          <w:szCs w:val="22"/>
        </w:rPr>
        <w:t xml:space="preserve">* Engineered columns created during wrangling, not present in the original source files.</w:t>
      </w:r>
    </w:p>
    <w:p>
      <w:pPr>
        <w:spacing w:after="100"/>
      </w:pPr>
      <w:r>
        <w:rPr>
          <w:rFonts w:ascii="Calibri" w:cs="Calibri" w:eastAsia="Calibri" w:hAnsi="Calibri"/>
          <w:b w:val="false"/>
          <w:bCs w:val="false"/>
          <w:i w:val="false"/>
          <w:iCs w:val="false"/>
          <w:color w:val="000000"/>
          <w:sz w:val="22"/>
          <w:szCs w:val="22"/>
        </w:rPr>
        <w:t xml:space="preserve"/>
      </w:r>
    </w:p>
    <w:p>
      <w:pPr>
        <w:pStyle w:val="Heading2"/>
      </w:pPr>
      <w:r>
        <w:rPr>
          <w:rFonts w:ascii="Calibri" w:cs="Calibri" w:eastAsia="Calibri" w:hAnsi="Calibri"/>
          <w:b w:val="false"/>
          <w:bCs w:val="false"/>
          <w:i w:val="false"/>
          <w:iCs w:val="false"/>
          <w:color w:val="000000"/>
          <w:sz w:val="22"/>
          <w:szCs w:val="22"/>
        </w:rPr>
        <w:t xml:space="preserve">3.4 Summary</w:t>
      </w:r>
    </w:p>
    <w:p>
      <w:pPr>
        <w:spacing w:after="140"/>
      </w:pPr>
      <w:r>
        <w:rPr>
          <w:rFonts w:ascii="Calibri" w:cs="Calibri" w:eastAsia="Calibri" w:hAnsi="Calibri"/>
          <w:b w:val="false"/>
          <w:bCs w:val="false"/>
          <w:i w:val="false"/>
          <w:iCs w:val="false"/>
          <w:color w:val="000000"/>
          <w:sz w:val="22"/>
          <w:szCs w:val="22"/>
        </w:rPr>
        <w:t xml:space="preserve">The cleaned dataset is ready for analysis. It covers 1,140 Premier League matches across three complete seasons, has no missing values in any analytical column, and includes all the match statistics needed to investigate home advantage and identify which in-game factors predict match outcomes. The wrangling process was straightforward mostly because the source data was well-structured to begin with, which is a credit to football-data.co.uk.</w:t>
      </w:r>
    </w:p>
    <w:p>
      <w:pPr>
        <w:spacing w:after="140"/>
      </w:pPr>
      <w:r>
        <w:rPr>
          <w:rFonts w:ascii="Calibri" w:cs="Calibri" w:eastAsia="Calibri" w:hAnsi="Calibri"/>
          <w:b w:val="false"/>
          <w:bCs w:val="false"/>
          <w:i w:val="false"/>
          <w:iCs w:val="false"/>
          <w:color w:val="000000"/>
          <w:sz w:val="22"/>
          <w:szCs w:val="22"/>
        </w:rPr>
        <w:t xml:space="preserve">The only real decision I had to make was which columns to keep. Dropping the 85 betting odds columns was an easy call — they are not relevant to what I am trying to find out, and keeping them would have made the dataset much noisier and harder to work with.</w:t>
      </w:r>
    </w:p>
    <w:p>
      <w:pPr>
        <w:spacing w:after="100"/>
      </w:pPr>
      <w:r>
        <w:rPr>
          <w:rFonts w:ascii="Calibri" w:cs="Calibri" w:eastAsia="Calibri" w:hAnsi="Calibri"/>
          <w:b w:val="false"/>
          <w:bCs w:val="false"/>
          <w:i w:val="false"/>
          <w:iCs w:val="false"/>
          <w:color w:val="000000"/>
          <w:sz w:val="22"/>
          <w:szCs w:val="22"/>
        </w:rPr>
        <w:t xml:space="preserve"/>
      </w:r>
    </w:p>
    <w:p>
      <w:pPr>
        <w:spacing w:after="0" w:before="300"/>
      </w:pPr>
      <w:r>
        <w:rPr>
          <w:rFonts w:ascii="Calibri" w:cs="Calibri" w:eastAsia="Calibri" w:hAnsi="Calibri"/>
          <w:b w:val="false"/>
          <w:bCs w:val="false"/>
          <w:i/>
          <w:iCs/>
          <w:color w:val="888888"/>
          <w:sz w:val="19"/>
          <w:szCs w:val="19"/>
        </w:rPr>
        <w:t xml:space="preserve">Data source: football-data.co.uk. All data is publicly available and free to use for educational purposes. Betting odds columns included in the raw files were not used in this analysis.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400"/>
      <w:outlineLvl w:val="0"/>
    </w:pPr>
    <w:rPr>
      <w:rFonts w:ascii="Calibri" w:cs="Calibri" w:eastAsia="Calibri" w:hAnsi="Calibri"/>
      <w:b/>
      <w:bCs/>
      <w:color w:val="365F91"/>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2026-05-27T20:41:11.758Z</dcterms:created>
  <dcterms:modified xsi:type="dcterms:W3CDTF">2026-05-27T20:41:11.773Z</dcterms:modified>
</cp:coreProperties>
</file>

<file path=docProps/custom.xml><?xml version="1.0" encoding="utf-8"?>
<Properties xmlns="http://schemas.openxmlformats.org/officeDocument/2006/custom-properties" xmlns:vt="http://schemas.openxmlformats.org/officeDocument/2006/docPropsVTypes"/>
</file>